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368BD" w14:textId="0A45C612" w:rsidR="00D045BD" w:rsidRPr="00D045BD" w:rsidRDefault="002F45C6" w:rsidP="002F45C6">
      <w:pPr>
        <w:ind w:left="3600" w:firstLine="720"/>
        <w:rPr>
          <w:sz w:val="32"/>
          <w:szCs w:val="32"/>
        </w:rPr>
      </w:pPr>
      <w:bookmarkStart w:id="0" w:name="_GoBack"/>
      <w:bookmarkEnd w:id="0"/>
      <w:proofErr w:type="gramStart"/>
      <w:r>
        <w:rPr>
          <w:sz w:val="32"/>
          <w:szCs w:val="32"/>
        </w:rPr>
        <w:t xml:space="preserve">City </w:t>
      </w:r>
      <w:r w:rsidR="002E5FEC" w:rsidRPr="0009431D">
        <w:rPr>
          <w:sz w:val="32"/>
          <w:szCs w:val="32"/>
        </w:rPr>
        <w:t xml:space="preserve"> of</w:t>
      </w:r>
      <w:proofErr w:type="gramEnd"/>
      <w:r w:rsidR="002E5FEC" w:rsidRPr="0009431D">
        <w:rPr>
          <w:sz w:val="32"/>
          <w:szCs w:val="32"/>
        </w:rPr>
        <w:t xml:space="preserve"> </w:t>
      </w:r>
      <w:r w:rsidR="0009431D" w:rsidRPr="0009431D">
        <w:rPr>
          <w:sz w:val="32"/>
          <w:szCs w:val="32"/>
        </w:rPr>
        <w:t>Newport</w:t>
      </w:r>
    </w:p>
    <w:p w14:paraId="2C25F207" w14:textId="37C7484B" w:rsidR="002E5FEC" w:rsidRPr="00D045BD" w:rsidRDefault="0073573E" w:rsidP="00D045B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Business </w:t>
      </w:r>
      <w:r w:rsidR="002E5FEC" w:rsidRPr="00D045BD">
        <w:rPr>
          <w:sz w:val="36"/>
          <w:szCs w:val="36"/>
        </w:rPr>
        <w:t xml:space="preserve">Microenterprise Stabilization </w:t>
      </w:r>
      <w:r w:rsidR="00A41947" w:rsidRPr="00D045BD">
        <w:rPr>
          <w:sz w:val="36"/>
          <w:szCs w:val="36"/>
        </w:rPr>
        <w:t xml:space="preserve">Grant </w:t>
      </w:r>
      <w:r w:rsidR="00645385">
        <w:rPr>
          <w:sz w:val="36"/>
          <w:szCs w:val="36"/>
        </w:rPr>
        <w:t>(</w:t>
      </w:r>
      <w:proofErr w:type="spellStart"/>
      <w:r w:rsidR="00645385">
        <w:rPr>
          <w:sz w:val="36"/>
          <w:szCs w:val="36"/>
        </w:rPr>
        <w:t>MicroE</w:t>
      </w:r>
      <w:proofErr w:type="spellEnd"/>
      <w:r w:rsidR="00645385">
        <w:rPr>
          <w:sz w:val="36"/>
          <w:szCs w:val="36"/>
        </w:rPr>
        <w:t xml:space="preserve">) </w:t>
      </w:r>
      <w:r w:rsidR="00A41947" w:rsidRPr="00D045BD">
        <w:rPr>
          <w:sz w:val="36"/>
          <w:szCs w:val="36"/>
        </w:rPr>
        <w:t>Program</w:t>
      </w:r>
    </w:p>
    <w:p w14:paraId="46C2C871" w14:textId="161E00D1" w:rsidR="002E5FEC" w:rsidRPr="0073573E" w:rsidRDefault="002E5FEC" w:rsidP="002E5FEC">
      <w:r w:rsidRPr="0073573E">
        <w:t xml:space="preserve">The </w:t>
      </w:r>
      <w:r w:rsidR="002F45C6">
        <w:rPr>
          <w:b/>
          <w:u w:val="single"/>
        </w:rPr>
        <w:t>City</w:t>
      </w:r>
      <w:r w:rsidRPr="0009431D">
        <w:rPr>
          <w:b/>
          <w:u w:val="single"/>
        </w:rPr>
        <w:t xml:space="preserve"> of </w:t>
      </w:r>
      <w:r w:rsidR="0009431D" w:rsidRPr="0009431D">
        <w:rPr>
          <w:b/>
          <w:u w:val="single"/>
        </w:rPr>
        <w:t>Newport</w:t>
      </w:r>
      <w:r w:rsidRPr="0073573E">
        <w:rPr>
          <w:b/>
        </w:rPr>
        <w:t>,</w:t>
      </w:r>
      <w:r w:rsidRPr="0073573E">
        <w:t xml:space="preserve"> </w:t>
      </w:r>
      <w:r w:rsidR="00645385">
        <w:t>with Community Development Block Grant (CDBG) funds provided by</w:t>
      </w:r>
      <w:r w:rsidR="00645385" w:rsidRPr="0073573E">
        <w:t xml:space="preserve"> </w:t>
      </w:r>
      <w:r w:rsidRPr="0073573E">
        <w:t xml:space="preserve">the R. I. Office of Housing and Community Development (OHCD) and the U.S. Department of Housing and Urban Development (HUD), </w:t>
      </w:r>
      <w:r w:rsidR="00B675B5" w:rsidRPr="0073573E">
        <w:t xml:space="preserve">is </w:t>
      </w:r>
      <w:r w:rsidR="00867883" w:rsidRPr="0073573E">
        <w:t>offering</w:t>
      </w:r>
      <w:r w:rsidRPr="0073573E">
        <w:t xml:space="preserve"> working capital grants </w:t>
      </w:r>
      <w:r w:rsidR="006D6391" w:rsidRPr="0073573E">
        <w:t>to qualifying small business microenterprises</w:t>
      </w:r>
      <w:r w:rsidRPr="0073573E">
        <w:t xml:space="preserve"> adversely impacted by COVID-19.</w:t>
      </w:r>
    </w:p>
    <w:p w14:paraId="39905EFC" w14:textId="3D10043E" w:rsidR="00985737" w:rsidRPr="0073573E" w:rsidRDefault="006D6391" w:rsidP="002E5FEC">
      <w:r w:rsidRPr="0073573E">
        <w:rPr>
          <w:b/>
        </w:rPr>
        <w:t>Eligible Businesses</w:t>
      </w:r>
      <w:r w:rsidRPr="0073573E">
        <w:t xml:space="preserve">:  </w:t>
      </w:r>
      <w:r w:rsidR="00985737" w:rsidRPr="0073573E">
        <w:t>Certain types of microenterprises are eligible.</w:t>
      </w:r>
      <w:r w:rsidRPr="0073573E">
        <w:t xml:space="preserve"> </w:t>
      </w:r>
      <w:r w:rsidR="00985737" w:rsidRPr="0073573E">
        <w:t xml:space="preserve"> A </w:t>
      </w:r>
      <w:r w:rsidRPr="0073573E">
        <w:t xml:space="preserve">microenterprise is defined as a commercial enterprise that has five or fewer employees, one or more of whom owns the enterprise.  </w:t>
      </w:r>
    </w:p>
    <w:p w14:paraId="7298AB68" w14:textId="2F2C87D3" w:rsidR="006D6391" w:rsidRPr="0073573E" w:rsidRDefault="006D6391" w:rsidP="002E5FEC">
      <w:r w:rsidRPr="0073573E">
        <w:t xml:space="preserve">The </w:t>
      </w:r>
      <w:r w:rsidR="00985737" w:rsidRPr="0073573E">
        <w:t>microenterprise</w:t>
      </w:r>
      <w:r w:rsidRPr="0073573E">
        <w:t xml:space="preserve"> owner</w:t>
      </w:r>
      <w:r w:rsidR="00EE2B87">
        <w:t>’s gross annual family income may not exceed the applicable threshold below</w:t>
      </w:r>
      <w:r w:rsidR="00645385">
        <w:t>, based on family size and city/town where you live (not where your business is located)</w:t>
      </w:r>
      <w:r w:rsidRPr="0073573E">
        <w:t>.</w:t>
      </w:r>
      <w:r w:rsidR="00EE2B87">
        <w:t xml:space="preserve">  </w:t>
      </w:r>
    </w:p>
    <w:p w14:paraId="65F4A805" w14:textId="40C278E1" w:rsidR="00704E09" w:rsidRPr="0073573E" w:rsidRDefault="00FC6DA6" w:rsidP="00AD49F3">
      <w:pPr>
        <w:spacing w:after="0"/>
        <w:jc w:val="center"/>
      </w:pPr>
      <w:r w:rsidRPr="00FC6DA6">
        <w:rPr>
          <w:noProof/>
        </w:rPr>
        <w:drawing>
          <wp:inline distT="0" distB="0" distL="0" distR="0" wp14:anchorId="32397878" wp14:editId="43A910F2">
            <wp:extent cx="6858000" cy="1049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EAFBD" w14:textId="77777777" w:rsidR="008D0FA5" w:rsidRPr="0073573E" w:rsidRDefault="008D0FA5" w:rsidP="008D0FA5">
      <w:pPr>
        <w:spacing w:after="0"/>
        <w:jc w:val="right"/>
      </w:pPr>
    </w:p>
    <w:p w14:paraId="2CBF7D95" w14:textId="18D7BA35" w:rsidR="00EE2B87" w:rsidRPr="0073573E" w:rsidRDefault="00EE2B87" w:rsidP="0073573E">
      <w:pPr>
        <w:spacing w:after="0"/>
        <w:rPr>
          <w:bCs/>
        </w:rPr>
      </w:pPr>
      <w:bookmarkStart w:id="1" w:name="_Hlk38450472"/>
      <w:r w:rsidRPr="004A2059">
        <w:rPr>
          <w:bCs/>
        </w:rPr>
        <w:t>Businesses must meet the following</w:t>
      </w:r>
      <w:r w:rsidR="007E0F84">
        <w:rPr>
          <w:bCs/>
        </w:rPr>
        <w:t xml:space="preserve"> </w:t>
      </w:r>
      <w:r w:rsidR="00B657A7">
        <w:rPr>
          <w:bCs/>
          <w:u w:val="single"/>
        </w:rPr>
        <w:t>updated</w:t>
      </w:r>
      <w:r w:rsidRPr="004A2059">
        <w:rPr>
          <w:bCs/>
        </w:rPr>
        <w:t xml:space="preserve"> eligibility criteria:</w:t>
      </w:r>
    </w:p>
    <w:bookmarkEnd w:id="1"/>
    <w:p w14:paraId="49418B94" w14:textId="77777777" w:rsidR="00EE2B87" w:rsidRPr="0073573E" w:rsidRDefault="00EE2B87" w:rsidP="00EE2B87">
      <w:pPr>
        <w:pStyle w:val="ListParagraph"/>
        <w:numPr>
          <w:ilvl w:val="0"/>
          <w:numId w:val="2"/>
        </w:numPr>
        <w:spacing w:after="160" w:line="259" w:lineRule="auto"/>
        <w:rPr>
          <w:bCs/>
        </w:rPr>
      </w:pPr>
      <w:r w:rsidRPr="0073573E">
        <w:rPr>
          <w:bCs/>
        </w:rPr>
        <w:t>Be a microenterprise, as defined above</w:t>
      </w:r>
    </w:p>
    <w:p w14:paraId="72948D6C" w14:textId="77777777" w:rsidR="00EE2B87" w:rsidRPr="0073573E" w:rsidRDefault="00EE2B87" w:rsidP="00EE2B87">
      <w:pPr>
        <w:pStyle w:val="ListParagraph"/>
        <w:numPr>
          <w:ilvl w:val="0"/>
          <w:numId w:val="2"/>
        </w:numPr>
        <w:spacing w:after="160" w:line="259" w:lineRule="auto"/>
        <w:rPr>
          <w:bCs/>
        </w:rPr>
      </w:pPr>
      <w:r w:rsidRPr="0073573E">
        <w:rPr>
          <w:bCs/>
        </w:rPr>
        <w:t xml:space="preserve">Be owned by </w:t>
      </w:r>
      <w:r w:rsidRPr="0073573E">
        <w:t xml:space="preserve">low- or moderate-income </w:t>
      </w:r>
      <w:r w:rsidRPr="0073573E">
        <w:rPr>
          <w:bCs/>
        </w:rPr>
        <w:t xml:space="preserve">person(s) </w:t>
      </w:r>
      <w:r w:rsidRPr="0073573E">
        <w:t>(≤80% of the Area Median Income, based on family size)</w:t>
      </w:r>
    </w:p>
    <w:p w14:paraId="48024E36" w14:textId="77777777" w:rsidR="00EE2B87" w:rsidRPr="0073573E" w:rsidRDefault="00EE2B87" w:rsidP="00EE2B87">
      <w:pPr>
        <w:pStyle w:val="ListParagraph"/>
        <w:numPr>
          <w:ilvl w:val="0"/>
          <w:numId w:val="2"/>
        </w:numPr>
        <w:spacing w:after="160" w:line="259" w:lineRule="auto"/>
        <w:rPr>
          <w:bCs/>
        </w:rPr>
      </w:pPr>
      <w:r w:rsidRPr="0073573E">
        <w:rPr>
          <w:bCs/>
        </w:rPr>
        <w:t>Be a for-profit entity (sole proprietorships, partnerships, corporations, or LLCs)</w:t>
      </w:r>
    </w:p>
    <w:p w14:paraId="1B7F4FB3" w14:textId="77777777" w:rsidR="00EE2B87" w:rsidRPr="0073573E" w:rsidRDefault="00EE2B87" w:rsidP="00EE2B87">
      <w:pPr>
        <w:pStyle w:val="ListParagraph"/>
        <w:numPr>
          <w:ilvl w:val="0"/>
          <w:numId w:val="2"/>
        </w:numPr>
        <w:spacing w:after="160" w:line="259" w:lineRule="auto"/>
        <w:rPr>
          <w:bCs/>
        </w:rPr>
      </w:pPr>
      <w:r w:rsidRPr="0073573E">
        <w:rPr>
          <w:bCs/>
        </w:rPr>
        <w:t>Have a physical establishment in the city/town of application</w:t>
      </w:r>
    </w:p>
    <w:p w14:paraId="7E2156F2" w14:textId="77777777" w:rsidR="00EE2B87" w:rsidRPr="0073573E" w:rsidRDefault="00EE2B87" w:rsidP="00EE2B87">
      <w:pPr>
        <w:pStyle w:val="ListParagraph"/>
        <w:numPr>
          <w:ilvl w:val="0"/>
          <w:numId w:val="2"/>
        </w:numPr>
        <w:spacing w:after="160" w:line="259" w:lineRule="auto"/>
        <w:rPr>
          <w:bCs/>
        </w:rPr>
      </w:pPr>
      <w:r w:rsidRPr="0073573E">
        <w:rPr>
          <w:bCs/>
        </w:rPr>
        <w:t>Provide goods or services to multiple clients or customers</w:t>
      </w:r>
    </w:p>
    <w:p w14:paraId="601188B5" w14:textId="77777777" w:rsidR="00EE2B87" w:rsidRPr="0073573E" w:rsidRDefault="00EE2B87" w:rsidP="00EE2B87">
      <w:pPr>
        <w:pStyle w:val="ListParagraph"/>
        <w:numPr>
          <w:ilvl w:val="0"/>
          <w:numId w:val="2"/>
        </w:numPr>
        <w:spacing w:after="160" w:line="259" w:lineRule="auto"/>
        <w:rPr>
          <w:bCs/>
        </w:rPr>
      </w:pPr>
      <w:r w:rsidRPr="0073573E">
        <w:rPr>
          <w:bCs/>
        </w:rPr>
        <w:t>Be in good standing with the state and city/town</w:t>
      </w:r>
    </w:p>
    <w:p w14:paraId="1BB67F44" w14:textId="77777777" w:rsidR="00EE2B87" w:rsidRPr="0073573E" w:rsidRDefault="00EE2B87" w:rsidP="00EE2B87">
      <w:pPr>
        <w:pStyle w:val="ListParagraph"/>
        <w:numPr>
          <w:ilvl w:val="1"/>
          <w:numId w:val="2"/>
        </w:numPr>
        <w:spacing w:after="160" w:line="259" w:lineRule="auto"/>
        <w:rPr>
          <w:bCs/>
        </w:rPr>
      </w:pPr>
      <w:r w:rsidRPr="0073573E">
        <w:rPr>
          <w:bCs/>
        </w:rPr>
        <w:t>Be current on all taxes due through 3/1/2020</w:t>
      </w:r>
    </w:p>
    <w:p w14:paraId="433D22AD" w14:textId="77777777" w:rsidR="00EE2B87" w:rsidRPr="0073573E" w:rsidRDefault="00EE2B87" w:rsidP="00EE2B87">
      <w:pPr>
        <w:pStyle w:val="ListParagraph"/>
        <w:numPr>
          <w:ilvl w:val="1"/>
          <w:numId w:val="2"/>
        </w:numPr>
        <w:spacing w:after="160" w:line="259" w:lineRule="auto"/>
        <w:rPr>
          <w:bCs/>
        </w:rPr>
      </w:pPr>
      <w:r w:rsidRPr="0073573E">
        <w:rPr>
          <w:bCs/>
        </w:rPr>
        <w:t>Active and valid state licenses/registrations, if applicable</w:t>
      </w:r>
    </w:p>
    <w:p w14:paraId="1B6831EC" w14:textId="77777777" w:rsidR="00EE2B87" w:rsidRPr="0073573E" w:rsidRDefault="00EE2B87" w:rsidP="00EE2B87">
      <w:pPr>
        <w:pStyle w:val="ListParagraph"/>
        <w:numPr>
          <w:ilvl w:val="1"/>
          <w:numId w:val="2"/>
        </w:numPr>
        <w:spacing w:after="160" w:line="259" w:lineRule="auto"/>
        <w:rPr>
          <w:bCs/>
        </w:rPr>
      </w:pPr>
      <w:r w:rsidRPr="0073573E">
        <w:rPr>
          <w:bCs/>
        </w:rPr>
        <w:t>Not a party to litigation involving the state or city/town</w:t>
      </w:r>
    </w:p>
    <w:p w14:paraId="074FF3DE" w14:textId="77777777" w:rsidR="00EE2B87" w:rsidRPr="0073573E" w:rsidRDefault="00EE2B87" w:rsidP="00EE2B87">
      <w:pPr>
        <w:pStyle w:val="ListParagraph"/>
        <w:numPr>
          <w:ilvl w:val="0"/>
          <w:numId w:val="2"/>
        </w:numPr>
        <w:spacing w:after="160" w:line="259" w:lineRule="auto"/>
        <w:rPr>
          <w:bCs/>
        </w:rPr>
      </w:pPr>
      <w:r w:rsidRPr="0073573E">
        <w:rPr>
          <w:bCs/>
        </w:rPr>
        <w:t>Be able to document a loss of income of at least $1,000 due to COVID-19</w:t>
      </w:r>
    </w:p>
    <w:p w14:paraId="214B49EB" w14:textId="325C3A7C" w:rsidR="00EE2B87" w:rsidRPr="00B657A7" w:rsidRDefault="00EE2B87" w:rsidP="00EE2B87">
      <w:pPr>
        <w:pStyle w:val="ListParagraph"/>
        <w:numPr>
          <w:ilvl w:val="0"/>
          <w:numId w:val="2"/>
        </w:numPr>
        <w:spacing w:after="160" w:line="259" w:lineRule="auto"/>
        <w:rPr>
          <w:bCs/>
          <w:i/>
          <w:iCs/>
        </w:rPr>
      </w:pPr>
      <w:bookmarkStart w:id="2" w:name="_Hlk43370667"/>
      <w:r w:rsidRPr="00B657A7">
        <w:rPr>
          <w:bCs/>
          <w:i/>
          <w:iCs/>
        </w:rPr>
        <w:t xml:space="preserve">Have been established </w:t>
      </w:r>
      <w:r w:rsidR="007E0F84" w:rsidRPr="00B657A7">
        <w:rPr>
          <w:bCs/>
          <w:i/>
          <w:iCs/>
        </w:rPr>
        <w:t xml:space="preserve">in </w:t>
      </w:r>
      <w:r w:rsidRPr="00B657A7">
        <w:rPr>
          <w:bCs/>
          <w:i/>
          <w:iCs/>
        </w:rPr>
        <w:t>2019</w:t>
      </w:r>
      <w:r w:rsidR="007E0F84" w:rsidRPr="00B657A7">
        <w:rPr>
          <w:bCs/>
          <w:i/>
          <w:iCs/>
        </w:rPr>
        <w:t xml:space="preserve"> or earlier</w:t>
      </w:r>
    </w:p>
    <w:p w14:paraId="37ADF10C" w14:textId="1E76C57E" w:rsidR="00E31BBB" w:rsidRDefault="00EE2B87" w:rsidP="00EE2B87">
      <w:pPr>
        <w:pStyle w:val="ListParagraph"/>
        <w:numPr>
          <w:ilvl w:val="0"/>
          <w:numId w:val="2"/>
        </w:numPr>
        <w:spacing w:after="160" w:line="259" w:lineRule="auto"/>
        <w:rPr>
          <w:bCs/>
        </w:rPr>
      </w:pPr>
      <w:r w:rsidRPr="0073573E">
        <w:rPr>
          <w:bCs/>
        </w:rPr>
        <w:t>Have annual gross revenues greater than $25,000</w:t>
      </w:r>
      <w:r w:rsidR="007E0F84">
        <w:rPr>
          <w:bCs/>
        </w:rPr>
        <w:t>, as documented on 2018 or 2019 tax returns</w:t>
      </w:r>
    </w:p>
    <w:p w14:paraId="47FF4D41" w14:textId="022BDE2A" w:rsidR="00EE2B87" w:rsidRDefault="00EE2B87" w:rsidP="00EE2B87">
      <w:pPr>
        <w:pStyle w:val="ListParagraph"/>
        <w:numPr>
          <w:ilvl w:val="0"/>
          <w:numId w:val="2"/>
        </w:numPr>
        <w:spacing w:after="160" w:line="259" w:lineRule="auto"/>
        <w:rPr>
          <w:bCs/>
        </w:rPr>
      </w:pPr>
      <w:r w:rsidRPr="004A2059">
        <w:rPr>
          <w:bCs/>
        </w:rPr>
        <w:t>Not be listed under the excluded business types, as amended (see below)</w:t>
      </w:r>
    </w:p>
    <w:p w14:paraId="67F6A508" w14:textId="19380802" w:rsidR="007E0F84" w:rsidRPr="00B657A7" w:rsidRDefault="007E0F84" w:rsidP="001357CB">
      <w:pPr>
        <w:spacing w:after="160" w:line="259" w:lineRule="auto"/>
        <w:rPr>
          <w:bCs/>
          <w:i/>
          <w:iCs/>
        </w:rPr>
      </w:pPr>
      <w:r w:rsidRPr="00B657A7">
        <w:rPr>
          <w:bCs/>
          <w:i/>
          <w:iCs/>
          <w:u w:val="single"/>
        </w:rPr>
        <w:t>June 2020 Update</w:t>
      </w:r>
      <w:r w:rsidRPr="00B657A7">
        <w:rPr>
          <w:bCs/>
          <w:i/>
          <w:iCs/>
        </w:rPr>
        <w:t xml:space="preserve">: Businesses with one owner/employee </w:t>
      </w:r>
      <w:r w:rsidR="005C1B7D" w:rsidRPr="00B657A7">
        <w:rPr>
          <w:bCs/>
          <w:i/>
          <w:iCs/>
        </w:rPr>
        <w:t xml:space="preserve">only </w:t>
      </w:r>
      <w:r w:rsidR="00DC4209" w:rsidRPr="00B657A7">
        <w:rPr>
          <w:bCs/>
          <w:i/>
          <w:iCs/>
        </w:rPr>
        <w:t>may apply</w:t>
      </w:r>
      <w:r w:rsidRPr="00B657A7">
        <w:rPr>
          <w:bCs/>
          <w:i/>
          <w:iCs/>
        </w:rPr>
        <w:t xml:space="preserve">.  Businesses that received EIDL and/or PPP funds </w:t>
      </w:r>
      <w:r w:rsidR="00DC4209" w:rsidRPr="00B657A7">
        <w:rPr>
          <w:bCs/>
          <w:i/>
          <w:iCs/>
        </w:rPr>
        <w:t>may apply</w:t>
      </w:r>
      <w:r w:rsidRPr="00B657A7">
        <w:rPr>
          <w:bCs/>
          <w:i/>
          <w:iCs/>
        </w:rPr>
        <w:t xml:space="preserve">, as long as the adverse impacts on the business </w:t>
      </w:r>
      <w:r w:rsidR="00DC4209" w:rsidRPr="00B657A7">
        <w:rPr>
          <w:bCs/>
          <w:i/>
          <w:iCs/>
        </w:rPr>
        <w:t>exceed other assistance by at least $5,000.  Businesses opened in 2019 that meet all other eligibility criteria may apply.</w:t>
      </w:r>
    </w:p>
    <w:bookmarkEnd w:id="2"/>
    <w:p w14:paraId="321791C1" w14:textId="74A75170" w:rsidR="00867883" w:rsidRPr="004A2059" w:rsidRDefault="00867883" w:rsidP="0073573E">
      <w:pPr>
        <w:spacing w:after="0"/>
      </w:pPr>
      <w:r w:rsidRPr="004A2059">
        <w:rPr>
          <w:b/>
        </w:rPr>
        <w:t>Required Documents:</w:t>
      </w:r>
      <w:r w:rsidRPr="004A2059">
        <w:t xml:space="preserve">  Applicants must submit all application forms, and supporting documents, including copies of:</w:t>
      </w:r>
    </w:p>
    <w:p w14:paraId="43C8797B" w14:textId="419ED416" w:rsidR="00645385" w:rsidRPr="004A2059" w:rsidRDefault="00645385" w:rsidP="00867883">
      <w:pPr>
        <w:pStyle w:val="ListParagraph"/>
        <w:numPr>
          <w:ilvl w:val="0"/>
          <w:numId w:val="1"/>
        </w:numPr>
      </w:pPr>
      <w:r w:rsidRPr="004A2059">
        <w:t xml:space="preserve">Driver’s </w:t>
      </w:r>
      <w:r w:rsidR="00D76E56">
        <w:t>L</w:t>
      </w:r>
      <w:r w:rsidRPr="004A2059">
        <w:t>icense</w:t>
      </w:r>
      <w:r w:rsidR="00D76E56">
        <w:t xml:space="preserve"> </w:t>
      </w:r>
      <w:r w:rsidR="00D76E56" w:rsidRPr="00D76E56">
        <w:t>or State-Issued Photo ID</w:t>
      </w:r>
    </w:p>
    <w:p w14:paraId="13D8E7AC" w14:textId="2A741EA5" w:rsidR="00867883" w:rsidRPr="004A2059" w:rsidRDefault="00867883" w:rsidP="00867883">
      <w:pPr>
        <w:pStyle w:val="ListParagraph"/>
        <w:numPr>
          <w:ilvl w:val="0"/>
          <w:numId w:val="1"/>
        </w:numPr>
      </w:pPr>
      <w:r w:rsidRPr="004A2059">
        <w:t>Personal tax returns for all adults filing separately (2018 or 2019)</w:t>
      </w:r>
    </w:p>
    <w:p w14:paraId="3A8226A9" w14:textId="0A5CC803" w:rsidR="00867883" w:rsidRPr="004A2059" w:rsidRDefault="00867883" w:rsidP="00867883">
      <w:pPr>
        <w:pStyle w:val="ListParagraph"/>
        <w:numPr>
          <w:ilvl w:val="0"/>
          <w:numId w:val="1"/>
        </w:numPr>
      </w:pPr>
      <w:r w:rsidRPr="004A2059">
        <w:t>Business tax returns (2018 or 2019)</w:t>
      </w:r>
    </w:p>
    <w:p w14:paraId="50685F3A" w14:textId="2557DB40" w:rsidR="00867883" w:rsidRPr="004A2059" w:rsidRDefault="00867883" w:rsidP="00867883">
      <w:pPr>
        <w:pStyle w:val="ListParagraph"/>
        <w:numPr>
          <w:ilvl w:val="0"/>
          <w:numId w:val="1"/>
        </w:numPr>
      </w:pPr>
      <w:r w:rsidRPr="004A2059">
        <w:t>Copies of payrolls for most recent pay period and pay period ending on/before 3/7/2020</w:t>
      </w:r>
    </w:p>
    <w:p w14:paraId="4E73245D" w14:textId="7F6A785F" w:rsidR="00867883" w:rsidRPr="004A2059" w:rsidRDefault="00B657A7" w:rsidP="00867883">
      <w:pPr>
        <w:pStyle w:val="ListParagraph"/>
        <w:numPr>
          <w:ilvl w:val="0"/>
          <w:numId w:val="1"/>
        </w:numPr>
      </w:pPr>
      <w:r>
        <w:t>Documentation</w:t>
      </w:r>
      <w:r w:rsidR="00867883" w:rsidRPr="004A2059">
        <w:t xml:space="preserve"> of re</w:t>
      </w:r>
      <w:r>
        <w:t>venue</w:t>
      </w:r>
      <w:r w:rsidR="00867883" w:rsidRPr="004A2059">
        <w:t xml:space="preserve"> for impacted period in 2020 (e.g. March</w:t>
      </w:r>
      <w:r w:rsidR="007E0F84">
        <w:t>-June</w:t>
      </w:r>
      <w:r w:rsidR="00867883" w:rsidRPr="004A2059">
        <w:t>), and same period in 2018, 2019</w:t>
      </w:r>
    </w:p>
    <w:p w14:paraId="19432BA3" w14:textId="6BBCE1B1" w:rsidR="00C54350" w:rsidRDefault="00C54350">
      <w:pPr>
        <w:rPr>
          <w:sz w:val="36"/>
          <w:szCs w:val="36"/>
        </w:rPr>
      </w:pPr>
      <w:r w:rsidRPr="004A2059">
        <w:rPr>
          <w:b/>
          <w:bCs/>
        </w:rPr>
        <w:t xml:space="preserve">Grant Amounts: </w:t>
      </w:r>
      <w:r w:rsidR="00DC664E" w:rsidRPr="004A2059">
        <w:rPr>
          <w:bCs/>
        </w:rPr>
        <w:t>$5,000 grants will be disbursed via a single lump-sum payment to approved, eligible microenterprises.</w:t>
      </w:r>
      <w:r>
        <w:rPr>
          <w:sz w:val="36"/>
          <w:szCs w:val="36"/>
        </w:rPr>
        <w:br w:type="page"/>
      </w:r>
    </w:p>
    <w:p w14:paraId="44FBBC77" w14:textId="2EC36695" w:rsidR="00C54350" w:rsidRPr="00645385" w:rsidRDefault="00C54350" w:rsidP="0073573E">
      <w:pPr>
        <w:pStyle w:val="ListParagraph"/>
        <w:rPr>
          <w:sz w:val="36"/>
          <w:szCs w:val="36"/>
        </w:rPr>
      </w:pPr>
      <w:r w:rsidRPr="00645385">
        <w:rPr>
          <w:sz w:val="36"/>
          <w:szCs w:val="36"/>
        </w:rPr>
        <w:lastRenderedPageBreak/>
        <w:t>Business Microenterprise Stabilization Grant (</w:t>
      </w:r>
      <w:proofErr w:type="spellStart"/>
      <w:r w:rsidRPr="00645385">
        <w:rPr>
          <w:sz w:val="36"/>
          <w:szCs w:val="36"/>
        </w:rPr>
        <w:t>MicroE</w:t>
      </w:r>
      <w:proofErr w:type="spellEnd"/>
      <w:r w:rsidRPr="00645385">
        <w:rPr>
          <w:sz w:val="36"/>
          <w:szCs w:val="36"/>
        </w:rPr>
        <w:t>) Program</w:t>
      </w:r>
    </w:p>
    <w:p w14:paraId="6779E9DA" w14:textId="1E65A1D6" w:rsidR="00C54350" w:rsidRDefault="00C54350" w:rsidP="0073573E">
      <w:r w:rsidRPr="0073573E">
        <w:rPr>
          <w:b/>
        </w:rPr>
        <w:t>Uses of Funds:</w:t>
      </w:r>
      <w:r w:rsidRPr="00256BC8">
        <w:t xml:space="preserve">  Funds may be used for working capital to cover business costs, such as rent, staffing, </w:t>
      </w:r>
      <w:r w:rsidR="00FC6DA6">
        <w:t xml:space="preserve">and </w:t>
      </w:r>
      <w:r w:rsidRPr="00256BC8">
        <w:t xml:space="preserve">utilities.  </w:t>
      </w:r>
      <w:proofErr w:type="spellStart"/>
      <w:r>
        <w:t>MicroE</w:t>
      </w:r>
      <w:proofErr w:type="spellEnd"/>
      <w:r w:rsidRPr="00256BC8">
        <w:t xml:space="preserve"> funds may not be used for </w:t>
      </w:r>
      <w:r>
        <w:t xml:space="preserve">major </w:t>
      </w:r>
      <w:r w:rsidRPr="00656764">
        <w:t>equipment purchases, purchase of real property, construction activities, business expansion</w:t>
      </w:r>
      <w:r>
        <w:t>, or lobbying</w:t>
      </w:r>
      <w:r w:rsidRPr="00656764">
        <w:t>.</w:t>
      </w:r>
    </w:p>
    <w:p w14:paraId="00B2273F" w14:textId="1C48F4B9" w:rsidR="00645385" w:rsidRDefault="00645385" w:rsidP="00645385">
      <w:r>
        <w:rPr>
          <w:b/>
          <w:bCs/>
        </w:rPr>
        <w:t xml:space="preserve">Excluded Business Types: </w:t>
      </w:r>
      <w:r>
        <w:t>The following business types are excluded from participating in this program:</w:t>
      </w:r>
    </w:p>
    <w:p w14:paraId="4D9839EF" w14:textId="77777777" w:rsidR="00645385" w:rsidRDefault="00645385" w:rsidP="00645385">
      <w:pPr>
        <w:pStyle w:val="ListParagraph"/>
        <w:numPr>
          <w:ilvl w:val="0"/>
          <w:numId w:val="3"/>
        </w:numPr>
        <w:spacing w:after="160" w:line="259" w:lineRule="auto"/>
      </w:pPr>
      <w:r w:rsidRPr="00800A0F">
        <w:t xml:space="preserve">cannabis-related businesses; </w:t>
      </w:r>
    </w:p>
    <w:p w14:paraId="63F35972" w14:textId="77777777" w:rsidR="00645385" w:rsidRDefault="00645385" w:rsidP="00645385">
      <w:pPr>
        <w:pStyle w:val="ListParagraph"/>
        <w:numPr>
          <w:ilvl w:val="0"/>
          <w:numId w:val="3"/>
        </w:numPr>
        <w:spacing w:after="160" w:line="259" w:lineRule="auto"/>
      </w:pPr>
      <w:r w:rsidRPr="00800A0F">
        <w:t>real estate rental</w:t>
      </w:r>
      <w:r>
        <w:t>s/sales</w:t>
      </w:r>
      <w:r w:rsidRPr="00800A0F">
        <w:t xml:space="preserve"> businesses; </w:t>
      </w:r>
    </w:p>
    <w:p w14:paraId="09BB44A2" w14:textId="77777777" w:rsidR="00645385" w:rsidRDefault="00645385" w:rsidP="00645385">
      <w:pPr>
        <w:pStyle w:val="ListParagraph"/>
        <w:numPr>
          <w:ilvl w:val="0"/>
          <w:numId w:val="3"/>
        </w:numPr>
        <w:spacing w:after="160" w:line="259" w:lineRule="auto"/>
      </w:pPr>
      <w:r w:rsidRPr="00800A0F">
        <w:t xml:space="preserve">home-based businesses with no employees; </w:t>
      </w:r>
    </w:p>
    <w:p w14:paraId="7044A2A3" w14:textId="77777777" w:rsidR="00645385" w:rsidRDefault="00645385" w:rsidP="00645385">
      <w:pPr>
        <w:pStyle w:val="ListParagraph"/>
        <w:numPr>
          <w:ilvl w:val="0"/>
          <w:numId w:val="3"/>
        </w:numPr>
        <w:spacing w:after="160" w:line="259" w:lineRule="auto"/>
      </w:pPr>
      <w:r w:rsidRPr="00800A0F">
        <w:t xml:space="preserve">businesses owned by persons under age 18; </w:t>
      </w:r>
    </w:p>
    <w:p w14:paraId="1420325E" w14:textId="77777777" w:rsidR="00645385" w:rsidRDefault="00645385" w:rsidP="00645385">
      <w:pPr>
        <w:pStyle w:val="ListParagraph"/>
        <w:numPr>
          <w:ilvl w:val="0"/>
          <w:numId w:val="3"/>
        </w:numPr>
        <w:spacing w:after="160" w:line="259" w:lineRule="auto"/>
      </w:pPr>
      <w:r w:rsidRPr="00800A0F">
        <w:t xml:space="preserve">businesses that are franchises or chains; </w:t>
      </w:r>
    </w:p>
    <w:p w14:paraId="3238EA09" w14:textId="77777777" w:rsidR="00645385" w:rsidRDefault="00645385" w:rsidP="00645385">
      <w:pPr>
        <w:pStyle w:val="ListParagraph"/>
        <w:numPr>
          <w:ilvl w:val="0"/>
          <w:numId w:val="3"/>
        </w:numPr>
        <w:spacing w:after="160" w:line="259" w:lineRule="auto"/>
      </w:pPr>
      <w:r w:rsidRPr="00800A0F">
        <w:t xml:space="preserve">liquor stores; </w:t>
      </w:r>
    </w:p>
    <w:p w14:paraId="4C77235A" w14:textId="77777777" w:rsidR="00645385" w:rsidRDefault="00645385" w:rsidP="00645385">
      <w:pPr>
        <w:pStyle w:val="ListParagraph"/>
        <w:numPr>
          <w:ilvl w:val="0"/>
          <w:numId w:val="3"/>
        </w:numPr>
        <w:spacing w:after="160" w:line="259" w:lineRule="auto"/>
      </w:pPr>
      <w:r>
        <w:t>weapons/firearms dealers;</w:t>
      </w:r>
    </w:p>
    <w:p w14:paraId="1194037F" w14:textId="77777777" w:rsidR="00645385" w:rsidRDefault="00645385" w:rsidP="00645385">
      <w:pPr>
        <w:pStyle w:val="ListParagraph"/>
        <w:numPr>
          <w:ilvl w:val="0"/>
          <w:numId w:val="3"/>
        </w:numPr>
        <w:spacing w:after="160" w:line="259" w:lineRule="auto"/>
      </w:pPr>
      <w:r>
        <w:t>lobbyists;</w:t>
      </w:r>
      <w:r w:rsidRPr="00800A0F">
        <w:t xml:space="preserve"> </w:t>
      </w:r>
    </w:p>
    <w:p w14:paraId="7656E3C5" w14:textId="77777777" w:rsidR="00645385" w:rsidRDefault="00645385" w:rsidP="00645385">
      <w:pPr>
        <w:pStyle w:val="ListParagraph"/>
        <w:numPr>
          <w:ilvl w:val="0"/>
          <w:numId w:val="3"/>
        </w:numPr>
        <w:spacing w:after="160" w:line="259" w:lineRule="auto"/>
      </w:pPr>
      <w:r w:rsidRPr="00800A0F">
        <w:t xml:space="preserve">persons operating as independent consultants/contractors and providing services to a single entity; </w:t>
      </w:r>
    </w:p>
    <w:p w14:paraId="7E6CE517" w14:textId="77777777" w:rsidR="00645385" w:rsidRDefault="00645385" w:rsidP="00645385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home-based </w:t>
      </w:r>
      <w:r w:rsidRPr="00800A0F">
        <w:t>businesses that are restricted to patrons below the age of 18</w:t>
      </w:r>
      <w:r>
        <w:t>;</w:t>
      </w:r>
      <w:r w:rsidRPr="00800A0F">
        <w:t xml:space="preserve"> </w:t>
      </w:r>
    </w:p>
    <w:p w14:paraId="329D8C2E" w14:textId="77777777" w:rsidR="00645385" w:rsidRDefault="00645385" w:rsidP="00645385">
      <w:r w:rsidRPr="00800A0F">
        <w:t>Microenterprises owned by students age 18+ are generally ineligible, unless the student owner is the sole means of financial support</w:t>
      </w:r>
      <w:r>
        <w:t xml:space="preserve"> for other family members</w:t>
      </w:r>
    </w:p>
    <w:p w14:paraId="71CEBDE0" w14:textId="77777777" w:rsidR="00D967DF" w:rsidRPr="0073573E" w:rsidRDefault="00D967DF" w:rsidP="00D967DF">
      <w:pPr>
        <w:jc w:val="center"/>
        <w:rPr>
          <w:b/>
          <w:i/>
        </w:rPr>
      </w:pPr>
    </w:p>
    <w:p w14:paraId="23572A3F" w14:textId="77777777" w:rsidR="00D045BD" w:rsidRPr="0073573E" w:rsidRDefault="00D967DF" w:rsidP="00D967DF">
      <w:pPr>
        <w:jc w:val="center"/>
        <w:rPr>
          <w:b/>
          <w:i/>
        </w:rPr>
      </w:pPr>
      <w:r w:rsidRPr="0073573E">
        <w:rPr>
          <w:b/>
          <w:i/>
        </w:rPr>
        <w:t xml:space="preserve">FOR COMPLETE </w:t>
      </w:r>
      <w:r w:rsidR="00321D52" w:rsidRPr="0073573E">
        <w:rPr>
          <w:b/>
          <w:i/>
        </w:rPr>
        <w:t>PROGRAM GUIDELINES</w:t>
      </w:r>
      <w:r w:rsidRPr="0073573E">
        <w:rPr>
          <w:b/>
          <w:i/>
        </w:rPr>
        <w:t xml:space="preserve"> AND APPLICATION MATERIALS, CONTACT:</w:t>
      </w:r>
    </w:p>
    <w:p w14:paraId="1150B32F" w14:textId="77777777" w:rsidR="00F502E3" w:rsidRDefault="00F502E3" w:rsidP="00F502E3">
      <w:pPr>
        <w:spacing w:after="0"/>
        <w:jc w:val="center"/>
        <w:rPr>
          <w:b/>
          <w:i/>
        </w:rPr>
      </w:pPr>
      <w:r>
        <w:rPr>
          <w:b/>
          <w:i/>
        </w:rPr>
        <w:t>Patricia Reynolds, Director of Planning &amp; Economic Development</w:t>
      </w:r>
    </w:p>
    <w:p w14:paraId="5FF6CDCA" w14:textId="77777777" w:rsidR="00F502E3" w:rsidRDefault="00F502E3" w:rsidP="00F502E3">
      <w:pPr>
        <w:spacing w:after="0"/>
        <w:jc w:val="center"/>
        <w:rPr>
          <w:b/>
          <w:i/>
        </w:rPr>
      </w:pPr>
      <w:r>
        <w:rPr>
          <w:b/>
          <w:i/>
        </w:rPr>
        <w:t>City of Newport</w:t>
      </w:r>
    </w:p>
    <w:p w14:paraId="1A41B5AC" w14:textId="77777777" w:rsidR="00F502E3" w:rsidRDefault="00F502E3" w:rsidP="00F502E3">
      <w:pPr>
        <w:spacing w:after="0"/>
        <w:jc w:val="center"/>
        <w:rPr>
          <w:b/>
          <w:i/>
        </w:rPr>
      </w:pPr>
      <w:r>
        <w:rPr>
          <w:b/>
          <w:i/>
        </w:rPr>
        <w:t>43 Broadway, Newport, RI  02840</w:t>
      </w:r>
    </w:p>
    <w:p w14:paraId="65E3418D" w14:textId="77777777" w:rsidR="00F502E3" w:rsidRDefault="00F502E3" w:rsidP="00F502E3">
      <w:pPr>
        <w:spacing w:after="0"/>
        <w:jc w:val="center"/>
        <w:rPr>
          <w:b/>
          <w:i/>
        </w:rPr>
      </w:pPr>
      <w:r>
        <w:rPr>
          <w:b/>
          <w:i/>
        </w:rPr>
        <w:t>(401) 845-5450, preynolds@cityofnewport.com</w:t>
      </w:r>
    </w:p>
    <w:p w14:paraId="102441FE" w14:textId="3E12AA38" w:rsidR="00645385" w:rsidRPr="00F502E3" w:rsidRDefault="00F502E3" w:rsidP="00F502E3">
      <w:pPr>
        <w:spacing w:after="0"/>
        <w:jc w:val="center"/>
        <w:rPr>
          <w:b/>
          <w:i/>
        </w:rPr>
      </w:pPr>
      <w:r>
        <w:rPr>
          <w:b/>
          <w:i/>
        </w:rPr>
        <w:t xml:space="preserve"> </w:t>
      </w:r>
    </w:p>
    <w:p w14:paraId="0242F641" w14:textId="4B83DC66" w:rsidR="00C54350" w:rsidRDefault="007E0F84" w:rsidP="0073573E">
      <w:pPr>
        <w:spacing w:after="0"/>
        <w:jc w:val="center"/>
        <w:rPr>
          <w:b/>
          <w:i/>
        </w:rPr>
      </w:pPr>
      <w:r>
        <w:rPr>
          <w:b/>
          <w:i/>
        </w:rPr>
        <w:t xml:space="preserve"> </w:t>
      </w:r>
    </w:p>
    <w:p w14:paraId="344E85B7" w14:textId="77777777" w:rsidR="00D45AF7" w:rsidRPr="0073573E" w:rsidRDefault="00D45AF7" w:rsidP="0073573E">
      <w:pPr>
        <w:spacing w:after="0"/>
        <w:jc w:val="center"/>
        <w:rPr>
          <w:b/>
          <w:i/>
        </w:rPr>
      </w:pPr>
    </w:p>
    <w:p w14:paraId="0E7F1A28" w14:textId="77777777" w:rsidR="004B3AAF" w:rsidRDefault="004B3AAF" w:rsidP="004B3AAF">
      <w:pPr>
        <w:spacing w:after="0"/>
        <w:jc w:val="center"/>
        <w:rPr>
          <w:rFonts w:cstheme="minorHAnsi"/>
          <w:b/>
          <w:sz w:val="20"/>
          <w:szCs w:val="20"/>
          <w:lang w:val="es-PR"/>
        </w:rPr>
      </w:pPr>
      <w:r>
        <w:rPr>
          <w:rFonts w:cstheme="minorHAnsi"/>
          <w:b/>
          <w:bCs/>
          <w:sz w:val="20"/>
          <w:szCs w:val="20"/>
          <w:lang w:val="es-PR"/>
        </w:rPr>
        <w:t xml:space="preserve">A </w:t>
      </w:r>
      <w:proofErr w:type="spellStart"/>
      <w:r>
        <w:rPr>
          <w:rFonts w:cstheme="minorHAnsi"/>
          <w:b/>
          <w:bCs/>
          <w:sz w:val="20"/>
          <w:szCs w:val="20"/>
          <w:lang w:val="es-PR"/>
        </w:rPr>
        <w:t>tradução</w:t>
      </w:r>
      <w:proofErr w:type="spellEnd"/>
      <w:r>
        <w:rPr>
          <w:rFonts w:cstheme="minorHAnsi"/>
          <w:b/>
          <w:bCs/>
          <w:sz w:val="20"/>
          <w:szCs w:val="20"/>
          <w:lang w:val="es-PR"/>
        </w:rPr>
        <w:t xml:space="preserve"> do documento está </w:t>
      </w:r>
      <w:proofErr w:type="spellStart"/>
      <w:r>
        <w:rPr>
          <w:rFonts w:cstheme="minorHAnsi"/>
          <w:b/>
          <w:bCs/>
          <w:sz w:val="20"/>
          <w:szCs w:val="20"/>
          <w:lang w:val="es-PR"/>
        </w:rPr>
        <w:t>disponível</w:t>
      </w:r>
      <w:proofErr w:type="spellEnd"/>
      <w:r>
        <w:rPr>
          <w:rFonts w:cstheme="minorHAnsi"/>
          <w:b/>
          <w:bCs/>
          <w:sz w:val="20"/>
          <w:szCs w:val="20"/>
          <w:lang w:val="es-PR"/>
        </w:rPr>
        <w:t xml:space="preserve"> mediante </w:t>
      </w:r>
      <w:proofErr w:type="spellStart"/>
      <w:r>
        <w:rPr>
          <w:rFonts w:cstheme="minorHAnsi"/>
          <w:b/>
          <w:bCs/>
          <w:sz w:val="20"/>
          <w:szCs w:val="20"/>
          <w:lang w:val="es-PR"/>
        </w:rPr>
        <w:t>solicitação</w:t>
      </w:r>
      <w:proofErr w:type="spellEnd"/>
    </w:p>
    <w:p w14:paraId="3D1B2821" w14:textId="77777777" w:rsidR="004B3AAF" w:rsidRDefault="004B3AAF" w:rsidP="004B3AAF">
      <w:pPr>
        <w:spacing w:after="0"/>
        <w:jc w:val="center"/>
        <w:rPr>
          <w:rFonts w:ascii="MS Gothic" w:eastAsia="MS Gothic" w:hAnsi="MS Gothic" w:cs="MS Gothic"/>
          <w:b/>
          <w:sz w:val="20"/>
          <w:szCs w:val="20"/>
        </w:rPr>
      </w:pPr>
      <w:proofErr w:type="spellStart"/>
      <w:r>
        <w:rPr>
          <w:rFonts w:eastAsia="MS Gothic" w:hint="eastAsia"/>
          <w:b/>
          <w:bCs/>
          <w:sz w:val="20"/>
          <w:szCs w:val="20"/>
        </w:rPr>
        <w:t>可根据要求翻</w:t>
      </w:r>
      <w:r>
        <w:rPr>
          <w:rFonts w:eastAsia="Microsoft JhengHei" w:hint="eastAsia"/>
          <w:b/>
          <w:bCs/>
          <w:sz w:val="20"/>
          <w:szCs w:val="20"/>
        </w:rPr>
        <w:t>译文</w:t>
      </w:r>
      <w:r>
        <w:rPr>
          <w:rFonts w:eastAsia="MS Gothic" w:hint="eastAsia"/>
          <w:b/>
          <w:bCs/>
          <w:sz w:val="20"/>
          <w:szCs w:val="20"/>
        </w:rPr>
        <w:t>件</w:t>
      </w:r>
      <w:proofErr w:type="spellEnd"/>
    </w:p>
    <w:p w14:paraId="55DF4B49" w14:textId="77777777" w:rsidR="004B3AAF" w:rsidRDefault="004B3AAF" w:rsidP="004B3AAF">
      <w:pPr>
        <w:spacing w:after="0"/>
        <w:jc w:val="center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Tradiksyon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dokiman</w:t>
      </w:r>
      <w:proofErr w:type="spellEnd"/>
      <w:r>
        <w:rPr>
          <w:rFonts w:cstheme="minorHAnsi"/>
          <w:b/>
          <w:bCs/>
          <w:sz w:val="20"/>
          <w:szCs w:val="20"/>
        </w:rPr>
        <w:t xml:space="preserve"> an </w:t>
      </w:r>
      <w:proofErr w:type="spellStart"/>
      <w:r>
        <w:rPr>
          <w:rFonts w:cstheme="minorHAnsi"/>
          <w:b/>
          <w:bCs/>
          <w:sz w:val="20"/>
          <w:szCs w:val="20"/>
        </w:rPr>
        <w:t>disponib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sou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demann</w:t>
      </w:r>
      <w:proofErr w:type="spellEnd"/>
    </w:p>
    <w:p w14:paraId="72580C6E" w14:textId="77777777" w:rsidR="004B3AAF" w:rsidRDefault="004B3AAF" w:rsidP="004B3AAF">
      <w:pPr>
        <w:spacing w:after="0"/>
        <w:jc w:val="center"/>
        <w:rPr>
          <w:rFonts w:ascii="Leelawadee UI" w:hAnsi="Leelawadee UI" w:cs="Leelawadee UI"/>
          <w:b/>
          <w:sz w:val="20"/>
          <w:szCs w:val="20"/>
        </w:rPr>
      </w:pPr>
      <w:proofErr w:type="spellStart"/>
      <w:r>
        <w:rPr>
          <w:rFonts w:ascii="Leelawadee UI" w:hAnsi="Leelawadee UI" w:cs="Leelawadee UI"/>
          <w:b/>
          <w:bCs/>
          <w:sz w:val="20"/>
          <w:szCs w:val="20"/>
        </w:rPr>
        <w:t>ការបកប្រែឯកសារអាចរកបានតាមការស្នើសុំ</w:t>
      </w:r>
      <w:proofErr w:type="spellEnd"/>
    </w:p>
    <w:p w14:paraId="36E1BACB" w14:textId="77777777" w:rsidR="004B3AAF" w:rsidRDefault="004B3AAF" w:rsidP="004B3AAF">
      <w:pPr>
        <w:spacing w:after="0"/>
        <w:jc w:val="center"/>
        <w:rPr>
          <w:rFonts w:cstheme="minorHAnsi"/>
          <w:b/>
          <w:sz w:val="20"/>
          <w:szCs w:val="20"/>
          <w:lang w:val="es-PR"/>
        </w:rPr>
      </w:pPr>
      <w:r>
        <w:rPr>
          <w:rFonts w:cstheme="minorHAnsi"/>
          <w:b/>
          <w:bCs/>
          <w:sz w:val="20"/>
          <w:szCs w:val="20"/>
          <w:lang w:val="es-PR"/>
        </w:rPr>
        <w:t xml:space="preserve">La </w:t>
      </w:r>
      <w:proofErr w:type="spellStart"/>
      <w:r>
        <w:rPr>
          <w:rFonts w:cstheme="minorHAnsi"/>
          <w:b/>
          <w:bCs/>
          <w:sz w:val="20"/>
          <w:szCs w:val="20"/>
          <w:lang w:val="es-PR"/>
        </w:rPr>
        <w:t>traduction</w:t>
      </w:r>
      <w:proofErr w:type="spellEnd"/>
      <w:r>
        <w:rPr>
          <w:rFonts w:cstheme="minorHAnsi"/>
          <w:b/>
          <w:bCs/>
          <w:sz w:val="20"/>
          <w:szCs w:val="20"/>
          <w:lang w:val="es-PR"/>
        </w:rPr>
        <w:t xml:space="preserve"> du </w:t>
      </w:r>
      <w:proofErr w:type="spellStart"/>
      <w:r>
        <w:rPr>
          <w:rFonts w:cstheme="minorHAnsi"/>
          <w:b/>
          <w:bCs/>
          <w:sz w:val="20"/>
          <w:szCs w:val="20"/>
          <w:lang w:val="es-PR"/>
        </w:rPr>
        <w:t>document</w:t>
      </w:r>
      <w:proofErr w:type="spellEnd"/>
      <w:r>
        <w:rPr>
          <w:rFonts w:cstheme="minorHAnsi"/>
          <w:b/>
          <w:bCs/>
          <w:sz w:val="20"/>
          <w:szCs w:val="20"/>
          <w:lang w:val="es-PR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  <w:lang w:val="es-PR"/>
        </w:rPr>
        <w:t>est</w:t>
      </w:r>
      <w:proofErr w:type="spellEnd"/>
      <w:r>
        <w:rPr>
          <w:rFonts w:cstheme="minorHAnsi"/>
          <w:b/>
          <w:bCs/>
          <w:sz w:val="20"/>
          <w:szCs w:val="20"/>
          <w:lang w:val="es-PR"/>
        </w:rPr>
        <w:t xml:space="preserve"> disponible sur demande.</w:t>
      </w:r>
    </w:p>
    <w:p w14:paraId="0CC7C7B4" w14:textId="77777777" w:rsidR="004B3AAF" w:rsidRDefault="004B3AAF" w:rsidP="004B3AAF">
      <w:pPr>
        <w:spacing w:after="0"/>
        <w:jc w:val="center"/>
        <w:rPr>
          <w:rFonts w:cstheme="minorHAnsi"/>
          <w:b/>
          <w:sz w:val="20"/>
          <w:szCs w:val="20"/>
          <w:lang w:val="es-PR"/>
        </w:rPr>
      </w:pPr>
      <w:proofErr w:type="spellStart"/>
      <w:r>
        <w:rPr>
          <w:rFonts w:cstheme="minorHAnsi"/>
          <w:b/>
          <w:bCs/>
          <w:sz w:val="20"/>
          <w:szCs w:val="20"/>
        </w:rPr>
        <w:t>تتوفر</w:t>
      </w:r>
      <w:proofErr w:type="spellEnd"/>
      <w:r>
        <w:rPr>
          <w:rFonts w:cstheme="minorHAnsi"/>
          <w:b/>
          <w:bCs/>
          <w:sz w:val="20"/>
          <w:szCs w:val="20"/>
          <w:lang w:val="es-PR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ترجمة</w:t>
      </w:r>
      <w:proofErr w:type="spellEnd"/>
      <w:r>
        <w:rPr>
          <w:rFonts w:cstheme="minorHAnsi"/>
          <w:b/>
          <w:bCs/>
          <w:sz w:val="20"/>
          <w:szCs w:val="20"/>
          <w:lang w:val="es-PR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المستند</w:t>
      </w:r>
      <w:proofErr w:type="spellEnd"/>
      <w:r>
        <w:rPr>
          <w:rFonts w:cstheme="minorHAnsi"/>
          <w:b/>
          <w:bCs/>
          <w:sz w:val="20"/>
          <w:szCs w:val="20"/>
          <w:lang w:val="es-PR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عند</w:t>
      </w:r>
      <w:proofErr w:type="spellEnd"/>
      <w:r>
        <w:rPr>
          <w:rFonts w:cstheme="minorHAnsi"/>
          <w:b/>
          <w:bCs/>
          <w:sz w:val="20"/>
          <w:szCs w:val="20"/>
          <w:lang w:val="es-PR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الطلب</w:t>
      </w:r>
      <w:proofErr w:type="spellEnd"/>
    </w:p>
    <w:p w14:paraId="67450294" w14:textId="77777777" w:rsidR="004B3AAF" w:rsidRDefault="004B3AAF" w:rsidP="004B3AAF">
      <w:pPr>
        <w:spacing w:after="0"/>
        <w:jc w:val="center"/>
        <w:rPr>
          <w:rFonts w:cstheme="minorHAnsi"/>
          <w:b/>
          <w:sz w:val="20"/>
          <w:szCs w:val="20"/>
          <w:lang w:val="es-PR"/>
        </w:rPr>
      </w:pPr>
      <w:r>
        <w:rPr>
          <w:rFonts w:cstheme="minorHAnsi"/>
          <w:b/>
          <w:bCs/>
          <w:sz w:val="20"/>
          <w:szCs w:val="20"/>
          <w:lang w:val="es-PR"/>
        </w:rPr>
        <w:t xml:space="preserve">La </w:t>
      </w:r>
      <w:proofErr w:type="spellStart"/>
      <w:r>
        <w:rPr>
          <w:rFonts w:cstheme="minorHAnsi"/>
          <w:b/>
          <w:bCs/>
          <w:sz w:val="20"/>
          <w:szCs w:val="20"/>
          <w:lang w:val="es-PR"/>
        </w:rPr>
        <w:t>traduzione</w:t>
      </w:r>
      <w:proofErr w:type="spellEnd"/>
      <w:r>
        <w:rPr>
          <w:rFonts w:cstheme="minorHAnsi"/>
          <w:b/>
          <w:bCs/>
          <w:sz w:val="20"/>
          <w:szCs w:val="20"/>
          <w:lang w:val="es-PR"/>
        </w:rPr>
        <w:t xml:space="preserve"> del documento è </w:t>
      </w:r>
      <w:proofErr w:type="spellStart"/>
      <w:r>
        <w:rPr>
          <w:rFonts w:cstheme="minorHAnsi"/>
          <w:b/>
          <w:bCs/>
          <w:sz w:val="20"/>
          <w:szCs w:val="20"/>
          <w:lang w:val="es-PR"/>
        </w:rPr>
        <w:t>disponibile</w:t>
      </w:r>
      <w:proofErr w:type="spellEnd"/>
      <w:r>
        <w:rPr>
          <w:rFonts w:cstheme="minorHAnsi"/>
          <w:b/>
          <w:bCs/>
          <w:sz w:val="20"/>
          <w:szCs w:val="20"/>
          <w:lang w:val="es-PR"/>
        </w:rPr>
        <w:t xml:space="preserve"> su </w:t>
      </w:r>
      <w:proofErr w:type="spellStart"/>
      <w:r>
        <w:rPr>
          <w:rFonts w:cstheme="minorHAnsi"/>
          <w:b/>
          <w:bCs/>
          <w:sz w:val="20"/>
          <w:szCs w:val="20"/>
          <w:lang w:val="es-PR"/>
        </w:rPr>
        <w:t>richiesta</w:t>
      </w:r>
      <w:proofErr w:type="spellEnd"/>
    </w:p>
    <w:p w14:paraId="5D80DED3" w14:textId="77777777" w:rsidR="004B3AAF" w:rsidRDefault="004B3AAF" w:rsidP="004B3AAF">
      <w:pPr>
        <w:spacing w:after="0"/>
        <w:jc w:val="center"/>
        <w:rPr>
          <w:rFonts w:ascii="Leelawadee UI" w:hAnsi="Leelawadee UI" w:cs="Leelawadee UI"/>
          <w:b/>
          <w:sz w:val="20"/>
          <w:szCs w:val="20"/>
        </w:rPr>
      </w:pPr>
      <w:proofErr w:type="spellStart"/>
      <w:r>
        <w:rPr>
          <w:rFonts w:ascii="Leelawadee UI" w:hAnsi="Leelawadee UI" w:cs="Leelawadee UI"/>
          <w:b/>
          <w:bCs/>
          <w:sz w:val="20"/>
          <w:szCs w:val="20"/>
        </w:rPr>
        <w:t>แปลเอกสารตามคำขอ</w:t>
      </w:r>
      <w:proofErr w:type="spellEnd"/>
    </w:p>
    <w:p w14:paraId="7C0A44AD" w14:textId="77777777" w:rsidR="004B3AAF" w:rsidRPr="00D967DF" w:rsidRDefault="004B3AAF" w:rsidP="00D967DF">
      <w:pPr>
        <w:jc w:val="center"/>
        <w:rPr>
          <w:b/>
          <w:i/>
          <w:sz w:val="24"/>
          <w:szCs w:val="24"/>
        </w:rPr>
      </w:pPr>
    </w:p>
    <w:sectPr w:rsidR="004B3AAF" w:rsidRPr="00D967DF" w:rsidSect="00D967D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D7EFC" w14:textId="77777777" w:rsidR="00645385" w:rsidRDefault="00645385" w:rsidP="00645385">
      <w:pPr>
        <w:spacing w:after="0" w:line="240" w:lineRule="auto"/>
      </w:pPr>
      <w:r>
        <w:separator/>
      </w:r>
    </w:p>
  </w:endnote>
  <w:endnote w:type="continuationSeparator" w:id="0">
    <w:p w14:paraId="51E6414F" w14:textId="77777777" w:rsidR="00645385" w:rsidRDefault="00645385" w:rsidP="0064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9450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D12982" w14:textId="2A2A0406" w:rsidR="00645385" w:rsidRDefault="006453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BF75F5" w14:textId="77777777" w:rsidR="00645385" w:rsidRDefault="00645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F8353" w14:textId="77777777" w:rsidR="00645385" w:rsidRDefault="00645385" w:rsidP="00645385">
      <w:pPr>
        <w:spacing w:after="0" w:line="240" w:lineRule="auto"/>
      </w:pPr>
      <w:r>
        <w:separator/>
      </w:r>
    </w:p>
  </w:footnote>
  <w:footnote w:type="continuationSeparator" w:id="0">
    <w:p w14:paraId="56C1F24C" w14:textId="77777777" w:rsidR="00645385" w:rsidRDefault="00645385" w:rsidP="0064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EB4"/>
    <w:multiLevelType w:val="hybridMultilevel"/>
    <w:tmpl w:val="8370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1CA2"/>
    <w:multiLevelType w:val="hybridMultilevel"/>
    <w:tmpl w:val="381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345D"/>
    <w:multiLevelType w:val="hybridMultilevel"/>
    <w:tmpl w:val="27509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EC"/>
    <w:rsid w:val="0009431D"/>
    <w:rsid w:val="001357CB"/>
    <w:rsid w:val="001C5AA8"/>
    <w:rsid w:val="00253E2C"/>
    <w:rsid w:val="002E5FEC"/>
    <w:rsid w:val="002F45C6"/>
    <w:rsid w:val="00321D52"/>
    <w:rsid w:val="00357F64"/>
    <w:rsid w:val="004A2059"/>
    <w:rsid w:val="004B3AAF"/>
    <w:rsid w:val="005C1B7D"/>
    <w:rsid w:val="005D2DC6"/>
    <w:rsid w:val="00645385"/>
    <w:rsid w:val="006D6391"/>
    <w:rsid w:val="00704E09"/>
    <w:rsid w:val="0073573E"/>
    <w:rsid w:val="00777070"/>
    <w:rsid w:val="00794E1C"/>
    <w:rsid w:val="007E0F84"/>
    <w:rsid w:val="0081182E"/>
    <w:rsid w:val="00867883"/>
    <w:rsid w:val="008D0FA5"/>
    <w:rsid w:val="0090637E"/>
    <w:rsid w:val="0096751F"/>
    <w:rsid w:val="00985737"/>
    <w:rsid w:val="00994238"/>
    <w:rsid w:val="00A41947"/>
    <w:rsid w:val="00AD49F3"/>
    <w:rsid w:val="00B52643"/>
    <w:rsid w:val="00B657A7"/>
    <w:rsid w:val="00B675B5"/>
    <w:rsid w:val="00C02D64"/>
    <w:rsid w:val="00C54350"/>
    <w:rsid w:val="00CA75B6"/>
    <w:rsid w:val="00CE075D"/>
    <w:rsid w:val="00D045BD"/>
    <w:rsid w:val="00D45AF7"/>
    <w:rsid w:val="00D76E56"/>
    <w:rsid w:val="00D967DF"/>
    <w:rsid w:val="00DC4209"/>
    <w:rsid w:val="00DC664E"/>
    <w:rsid w:val="00E31BBB"/>
    <w:rsid w:val="00EE2B87"/>
    <w:rsid w:val="00EF7AD1"/>
    <w:rsid w:val="00F31B06"/>
    <w:rsid w:val="00F502E3"/>
    <w:rsid w:val="00FC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BDC8"/>
  <w15:docId w15:val="{863FEA76-5BCC-4BCB-99F4-16649295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8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385"/>
  </w:style>
  <w:style w:type="paragraph" w:styleId="Footer">
    <w:name w:val="footer"/>
    <w:basedOn w:val="Normal"/>
    <w:link w:val="FooterChar"/>
    <w:uiPriority w:val="99"/>
    <w:unhideWhenUsed/>
    <w:rsid w:val="0064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385"/>
  </w:style>
  <w:style w:type="character" w:styleId="Hyperlink">
    <w:name w:val="Hyperlink"/>
    <w:basedOn w:val="DefaultParagraphFont"/>
    <w:uiPriority w:val="99"/>
    <w:unhideWhenUsed/>
    <w:rsid w:val="007E0F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F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0F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6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85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4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2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08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96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0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junebhouse@comcast.net</dc:creator>
  <cp:lastModifiedBy>Reynolds, Patricia</cp:lastModifiedBy>
  <cp:revision>2</cp:revision>
  <cp:lastPrinted>2020-04-22T18:31:00Z</cp:lastPrinted>
  <dcterms:created xsi:type="dcterms:W3CDTF">2020-07-06T18:44:00Z</dcterms:created>
  <dcterms:modified xsi:type="dcterms:W3CDTF">2020-07-06T18:44:00Z</dcterms:modified>
</cp:coreProperties>
</file>