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9D997" w14:textId="7FA770B9" w:rsidR="001751D3" w:rsidRDefault="006E00DA">
      <w:pPr>
        <w:pStyle w:val="Header"/>
        <w:tabs>
          <w:tab w:val="clear" w:pos="4320"/>
          <w:tab w:val="clear" w:pos="8640"/>
        </w:tabs>
        <w:rPr>
          <w:b/>
        </w:rPr>
      </w:pPr>
      <w:r>
        <w:rPr>
          <w:b/>
          <w:noProof/>
        </w:rPr>
        <mc:AlternateContent>
          <mc:Choice Requires="wps">
            <w:drawing>
              <wp:anchor distT="0" distB="0" distL="114300" distR="114300" simplePos="0" relativeHeight="251656192" behindDoc="0" locked="0" layoutInCell="0" allowOverlap="1" wp14:anchorId="719788AC" wp14:editId="5D6316B5">
                <wp:simplePos x="0" y="0"/>
                <wp:positionH relativeFrom="margin">
                  <wp:posOffset>-114935</wp:posOffset>
                </wp:positionH>
                <wp:positionV relativeFrom="margin">
                  <wp:posOffset>-905510</wp:posOffset>
                </wp:positionV>
                <wp:extent cx="3175" cy="1010412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0104120"/>
                        </a:xfrm>
                        <a:prstGeom prst="line">
                          <a:avLst/>
                        </a:prstGeom>
                        <a:noFill/>
                        <a:ln w="9525">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EAC1D"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05pt,-71.3pt" to="-8.8pt,7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qcrAIAAKcFAAAOAAAAZHJzL2Uyb0RvYy54bWysVMlu2zAQvRfoPxC8K1osb0LkIpGl9pC2&#10;AZKiZ1qkLKIUKZC0ZaPov3dIO0qcHloUsQGCy8zTzJs3c/3h0Am0Z9pwJXMcX0UYMVkryuU2x98e&#10;q2CBkbFEUiKUZDk+MoM/rN6/ux76jCWqVYIyjQBEmmzoc9xa22dhaOqWdcRcqZ5JeGyU7oiFo96G&#10;VJMB0DsRJlE0Cwelaa9VzYyB2/XpEa88ftOw2n5tGsMsEjmG2KxftV83bg1X1yTbatK3vD6HQf4j&#10;io5wCR8dodbEErTT/A+ojtdaGdXYq1p1oWoaXjOfA2QTR6+yeWhJz3wuQI7pR5rM28HWX/b3GnGa&#10;4xlGknRQojsuGUodM0NvMjAo5L12udUH+dDfqfqHQVIVLZFb5iN8PPbgFjuP8MLFHUwP+Jvhs6Jg&#10;Q3ZWeZoOje5QI3j/yTk6cKACHXxdjmNd2MGiGi4n8XyKUQ0PMZCUxomvW0gyB+Oce23sR6Y65DY5&#10;FpCBByX7O2NdWM8mzlyqigvhSy8kGnK8nCZT72CU4NQ9OjOjt5tCaLQnIJ6qiuDnc4SXl2Za7ST1&#10;YC0jtJQUWU+IBMFjh246jASD9oCNt7OEi7/bQdBCujiY1/EpEzgdLGz9PdDjNfZzGS3LRblIgzSZ&#10;lUEardfBTVWkwawC5taTdVGs418uwTjNWk4pky7HJ73H6b/p6dx5J6WOih/JDC/RPesQ7GWkN9U0&#10;mqeTRTCfTydBOimj4HZRFcFNEc9m8/K2uC1fRVr67M3bBDtS6aJSO8v0Q0sHRLmTzWS6TGIMB5gP&#10;ydyVGyYGEVuoXG01RlrZ79y2XvNOow7jQiOLyP3PGhnRT0Q81dCdxiqcc3umCmr+VF/fSq57Tn24&#10;UfR4r52WXVfBNPBO58nlxs3Ls7d6nq+r3wAAAP//AwBQSwMEFAAGAAgAAAAhAPra4KLfAAAADQEA&#10;AA8AAABkcnMvZG93bnJldi54bWxMj8Fqg0AQhu+FvsMyhd7MqhG7WNdQAoH2UmiSQ48bnarUnRV3&#10;o/btOzm1t3+Yj3++KXerHcSMk+8daUg2MQik2jU9tRrOp0OkQPhgqDGDI9Twgx521f1daYrGLfSB&#10;8zG0gkvIF0ZDF8JYSOnrDq3xGzci8e7LTdYEHqdWNpNZuNwOMo3jXFrTE1/ozIj7Duvv49VqGA/7&#10;02u9vL9tpVIWP+WcbrNZ68eH9eUZRMA1/MFw02d1qNjp4q7UeDFoiBKVMHoLWZqDYCRKnjhcmM0y&#10;lYOsSvn/i+oXAAD//wMAUEsBAi0AFAAGAAgAAAAhALaDOJL+AAAA4QEAABMAAAAAAAAAAAAAAAAA&#10;AAAAAFtDb250ZW50X1R5cGVzXS54bWxQSwECLQAUAAYACAAAACEAOP0h/9YAAACUAQAACwAAAAAA&#10;AAAAAAAAAAAvAQAAX3JlbHMvLnJlbHNQSwECLQAUAAYACAAAACEAO8danKwCAACnBQAADgAAAAAA&#10;AAAAAAAAAAAuAgAAZHJzL2Uyb0RvYy54bWxQSwECLQAUAAYACAAAACEA+trgot8AAAANAQAADwAA&#10;AAAAAAAAAAAAAAAGBQAAZHJzL2Rvd25yZXYueG1sUEsFBgAAAAAEAAQA8wAAABIGAAAAAA==&#10;" o:allowincell="f" strokecolor="red">
                <v:stroke startarrowwidth="narrow" startarrowlength="short" endarrowwidth="narrow" endarrowlength="short"/>
                <w10:wrap anchorx="margin" anchory="margin"/>
              </v:line>
            </w:pict>
          </mc:Fallback>
        </mc:AlternateContent>
      </w:r>
      <w:r>
        <w:rPr>
          <w:b/>
          <w:noProof/>
        </w:rPr>
        <mc:AlternateContent>
          <mc:Choice Requires="wps">
            <w:drawing>
              <wp:anchor distT="0" distB="0" distL="114300" distR="114300" simplePos="0" relativeHeight="251655168" behindDoc="0" locked="0" layoutInCell="0" allowOverlap="1" wp14:anchorId="3D6B1112" wp14:editId="4F7AA7EB">
                <wp:simplePos x="0" y="0"/>
                <wp:positionH relativeFrom="margin">
                  <wp:posOffset>-180975</wp:posOffset>
                </wp:positionH>
                <wp:positionV relativeFrom="margin">
                  <wp:posOffset>-930910</wp:posOffset>
                </wp:positionV>
                <wp:extent cx="3175" cy="1010412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0104120"/>
                        </a:xfrm>
                        <a:prstGeom prst="line">
                          <a:avLst/>
                        </a:prstGeom>
                        <a:noFill/>
                        <a:ln w="9525">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6F5D4" id="Line 2" o:spid="_x0000_s1026" style="position:absolute;flip:x;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4.25pt,-73.3pt" to="-14pt,7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ivqwIAAKcFAAAOAAAAZHJzL2Uyb0RvYy54bWysVMtu2zAQvBfoPxC8K3pYfgmRi0SW2kPa&#10;BkiKnmmRsohSpEDSlo2i/94l7ShxemhRxAYIPnZHs7NDXn84dALtmTZcyRzHVxFGTNaKcrnN8bfH&#10;KlhgZCyRlAglWY6PzOAPq/fvroc+Y4lqlaBMIwCRJhv6HLfW9lkYmrplHTFXqmcSDhulO2Jhqbch&#10;1WQA9E6ESRTNwkFp2mtVM2Ngd306xCuP3zSstl+bxjCLRI6Bm/Wj9uPGjeHqmmRbTfqW12ca5D9Y&#10;dIRL+OgItSaWoJ3mf0B1vNbKqMZe1aoLVdPwmvkaoJo4elXNQ0t65msBcUw/ymTeDrb+sr/XiNMc&#10;TzGSpIMW3XHJUOKUGXqTQUAh77WrrT7Ih/5O1T8Mkqpoidwyz/Dx2ENa7DLCixS3MD3gb4bPikIM&#10;2VnlZTo0ukON4P0nl+jAQQp08H05jn1hB4tq2JzEc2BXw0EMIqVx4vsWkszBuOReG/uRqQ65SY4F&#10;VOBByf7OWEfrOcSFS1VxIXzrhURDjpfTZOoTjBKcukMXZvR2UwiN9gTMU1UR/HyNcPIyTKudpB6s&#10;ZYSWkiLrBZFgeOzQTYeRYHA9YOLjLOHi73FAWkjHg3kfnyqB1cHC1O+DPN5jP5fRslyUizRIk1kZ&#10;pNF6HdxURRrMKlBuPVkXxTr+5QqM06zllDLpanzye5z+m5/ON+/k1NHxo5jhJbpXHcheMr2pptE8&#10;nSyC+Xw6CdJJGQW3i6oIbop4NpuXt8Vt+Ypp6as3b0N2lNKxUjvL9ENLB0S5s81kukxiDAt4H5K5&#10;aze8GERsoXO11RhpZb9z23rPO486jAuPLCL3P3tkRD8J8dRDtxq7cK7tWSro+VN//VVyt+d0DzeK&#10;Hu+187K7VfAa+KTzy+Wem5drH/X8vq5+AwAA//8DAFBLAwQUAAYACAAAACEABQ57PuAAAAANAQAA&#10;DwAAAGRycy9kb3ducmV2LnhtbEyPQU/DMAyF70j8h8iTuG3pulBVpemEJk2CCxIbB45ZY9pqjVM1&#10;WVv+PeYEN9vv0/N75X5xvZhwDJ0nDdtNAgKp9rajRsPH+bjOQYRoyJreE2r4xgD76v6uNIX1M73j&#10;dIqNYBMKhdHQxjgUUoa6RWfCxg9IrH350ZnI69hIO5qZzV0v0yTJpDMd8YfWDHhosb6ebk7DcDyc&#10;X+r57XUn89zhp5zSnZq0flgtz08gIi7xD4bf+BwdKs508TeyQfQa1mn+yCgPW5VlIBjhE9e7MKuU&#10;ykBWpfzfovoBAAD//wMAUEsBAi0AFAAGAAgAAAAhALaDOJL+AAAA4QEAABMAAAAAAAAAAAAAAAAA&#10;AAAAAFtDb250ZW50X1R5cGVzXS54bWxQSwECLQAUAAYACAAAACEAOP0h/9YAAACUAQAACwAAAAAA&#10;AAAAAAAAAAAvAQAAX3JlbHMvLnJlbHNQSwECLQAUAAYACAAAACEA6tGIr6sCAACnBQAADgAAAAAA&#10;AAAAAAAAAAAuAgAAZHJzL2Uyb0RvYy54bWxQSwECLQAUAAYACAAAACEABQ57PuAAAAANAQAADwAA&#10;AAAAAAAAAAAAAAAFBQAAZHJzL2Rvd25yZXYueG1sUEsFBgAAAAAEAAQA8wAAABIGAAAAAA==&#10;" o:allowincell="f" strokecolor="red">
                <v:stroke startarrowwidth="narrow" startarrowlength="short" endarrowwidth="narrow" endarrowlength="short"/>
                <w10:wrap anchorx="margin" anchory="margin"/>
              </v:line>
            </w:pict>
          </mc:Fallback>
        </mc:AlternateContent>
      </w:r>
      <w:r w:rsidR="001751D3">
        <w:rPr>
          <w:b/>
        </w:rPr>
        <w:t>STATE OF RHODE ISLAND</w:t>
      </w:r>
      <w:r w:rsidR="001751D3">
        <w:rPr>
          <w:b/>
        </w:rPr>
        <w:tab/>
      </w:r>
      <w:r w:rsidR="001751D3">
        <w:rPr>
          <w:b/>
        </w:rPr>
        <w:tab/>
        <w:t xml:space="preserve">   HISTORIC DISTRIC</w:t>
      </w:r>
      <w:r w:rsidR="000923E2">
        <w:rPr>
          <w:b/>
        </w:rPr>
        <w:t>T</w:t>
      </w:r>
      <w:r w:rsidR="001751D3">
        <w:rPr>
          <w:b/>
        </w:rPr>
        <w:t xml:space="preserve"> COMMISSION</w:t>
      </w:r>
    </w:p>
    <w:p w14:paraId="6FCD6CEA" w14:textId="77777777" w:rsidR="001751D3" w:rsidRDefault="001751D3">
      <w:pPr>
        <w:rPr>
          <w:b/>
        </w:rPr>
      </w:pPr>
      <w:r>
        <w:rPr>
          <w:b/>
        </w:rPr>
        <w:t>NEWPORT, Sc.</w:t>
      </w:r>
      <w:r>
        <w:rPr>
          <w:b/>
        </w:rPr>
        <w:tab/>
      </w:r>
      <w:r>
        <w:rPr>
          <w:b/>
        </w:rPr>
        <w:tab/>
      </w:r>
      <w:r>
        <w:rPr>
          <w:b/>
        </w:rPr>
        <w:tab/>
      </w:r>
      <w:r>
        <w:rPr>
          <w:b/>
        </w:rPr>
        <w:tab/>
      </w:r>
      <w:r>
        <w:rPr>
          <w:b/>
        </w:rPr>
        <w:tab/>
      </w:r>
      <w:r>
        <w:rPr>
          <w:b/>
        </w:rPr>
        <w:tab/>
        <w:t xml:space="preserve">     CITY OF NEWPORT</w:t>
      </w:r>
    </w:p>
    <w:p w14:paraId="36D83EE6" w14:textId="77777777" w:rsidR="001751D3" w:rsidRDefault="001751D3"/>
    <w:p w14:paraId="20F1DAFE" w14:textId="77777777" w:rsidR="001751D3" w:rsidRDefault="001751D3"/>
    <w:p w14:paraId="19CBF18C" w14:textId="5B53D241" w:rsidR="000139AF" w:rsidRPr="000139AF" w:rsidRDefault="001751D3" w:rsidP="000139AF">
      <w:pPr>
        <w:pStyle w:val="BlockText"/>
      </w:pPr>
      <w:r>
        <w:t>In Re:</w:t>
      </w:r>
      <w:r>
        <w:tab/>
      </w:r>
      <w:r w:rsidR="00494A86">
        <w:t xml:space="preserve">September-6 </w:t>
      </w:r>
      <w:r w:rsidR="000139AF" w:rsidRPr="000139AF">
        <w:t xml:space="preserve">Application of Mr. Luke </w:t>
      </w:r>
      <w:proofErr w:type="spellStart"/>
      <w:r w:rsidR="000139AF" w:rsidRPr="000139AF">
        <w:t>Fluery</w:t>
      </w:r>
      <w:proofErr w:type="spellEnd"/>
      <w:r w:rsidR="000139AF" w:rsidRPr="000139AF">
        <w:t xml:space="preserve">, 34 Elm Street, Plat 16, Lot 42, for permission to replace 26 windows with </w:t>
      </w:r>
      <w:proofErr w:type="spellStart"/>
      <w:r w:rsidR="000139AF" w:rsidRPr="000139AF">
        <w:t>Brosco</w:t>
      </w:r>
      <w:proofErr w:type="spellEnd"/>
      <w:r w:rsidR="000139AF" w:rsidRPr="000139AF">
        <w:t xml:space="preserve"> single glazed wood double hung windows to match existing in size and number of lights.</w:t>
      </w:r>
    </w:p>
    <w:p w14:paraId="1A4B16EE" w14:textId="77777777" w:rsidR="001751D3" w:rsidRDefault="001751D3" w:rsidP="00CB29E8">
      <w:pPr>
        <w:pStyle w:val="BlockText"/>
        <w:ind w:left="0" w:firstLine="0"/>
      </w:pPr>
    </w:p>
    <w:p w14:paraId="4DBB6261" w14:textId="77777777" w:rsidR="001751D3" w:rsidRDefault="001751D3"/>
    <w:p w14:paraId="28BA0CBD" w14:textId="77777777" w:rsidR="001751D3" w:rsidRDefault="001751D3">
      <w:pPr>
        <w:jc w:val="center"/>
        <w:rPr>
          <w:b/>
          <w:u w:val="single"/>
        </w:rPr>
      </w:pPr>
      <w:r>
        <w:rPr>
          <w:b/>
          <w:u w:val="single"/>
        </w:rPr>
        <w:t>DECISION</w:t>
      </w:r>
    </w:p>
    <w:p w14:paraId="04877EEA" w14:textId="77777777" w:rsidR="001751D3" w:rsidRDefault="001751D3">
      <w:pPr>
        <w:spacing w:line="360" w:lineRule="auto"/>
      </w:pPr>
    </w:p>
    <w:p w14:paraId="5D1C78B9" w14:textId="62BE48E8" w:rsidR="001751D3" w:rsidRDefault="001751D3" w:rsidP="009A5FA3">
      <w:pPr>
        <w:ind w:left="720"/>
      </w:pPr>
      <w:r>
        <w:t xml:space="preserve">This matter came before the Newport Historic </w:t>
      </w:r>
      <w:r w:rsidR="00C609F1">
        <w:t xml:space="preserve">District Commission </w:t>
      </w:r>
      <w:r w:rsidR="000139AF">
        <w:t xml:space="preserve">September 15, 2020.  Mr. Mark Rapp, architect, was present to represent application.  </w:t>
      </w:r>
      <w:r w:rsidR="00EF71EE">
        <w:t xml:space="preserve">  </w:t>
      </w:r>
    </w:p>
    <w:p w14:paraId="2850475F" w14:textId="77777777" w:rsidR="001751D3" w:rsidRDefault="001751D3" w:rsidP="001751D3"/>
    <w:p w14:paraId="2ACECC26" w14:textId="77777777" w:rsidR="001751D3" w:rsidRDefault="001751D3" w:rsidP="001751D3">
      <w:pPr>
        <w:rPr>
          <w:szCs w:val="24"/>
        </w:rPr>
      </w:pPr>
      <w:r>
        <w:tab/>
      </w:r>
      <w:r>
        <w:rPr>
          <w:szCs w:val="24"/>
        </w:rPr>
        <w:t>The following testimony was heard on the matter:</w:t>
      </w:r>
    </w:p>
    <w:p w14:paraId="5A7A8FF7" w14:textId="77777777" w:rsidR="001751D3" w:rsidRDefault="001751D3" w:rsidP="001751D3"/>
    <w:p w14:paraId="2AF1DF7B" w14:textId="420B4E79" w:rsidR="00EF71EE" w:rsidRDefault="001751D3" w:rsidP="00A51344">
      <w:pPr>
        <w:ind w:left="720"/>
      </w:pPr>
      <w:r>
        <w:t xml:space="preserve">1. </w:t>
      </w:r>
      <w:r w:rsidR="00EF71EE">
        <w:t xml:space="preserve">On </w:t>
      </w:r>
      <w:r w:rsidR="000139AF">
        <w:t>September</w:t>
      </w:r>
      <w:r w:rsidR="009A5FA3">
        <w:t xml:space="preserve"> 15, 20</w:t>
      </w:r>
      <w:r w:rsidR="000139AF">
        <w:t>20</w:t>
      </w:r>
      <w:r w:rsidR="009A5FA3">
        <w:t xml:space="preserve"> Mr. </w:t>
      </w:r>
      <w:r w:rsidR="000139AF">
        <w:t>Mark Rapp</w:t>
      </w:r>
      <w:r w:rsidR="00EF71EE">
        <w:t xml:space="preserve"> presented the application to the Commission. </w:t>
      </w:r>
    </w:p>
    <w:p w14:paraId="1C1748FA" w14:textId="77777777" w:rsidR="00EF71EE" w:rsidRDefault="00EF71EE" w:rsidP="00A51344">
      <w:pPr>
        <w:ind w:left="720"/>
      </w:pPr>
    </w:p>
    <w:p w14:paraId="23E55D51" w14:textId="09641F59" w:rsidR="000139AF" w:rsidRDefault="00EF71EE" w:rsidP="000139AF">
      <w:pPr>
        <w:ind w:left="720"/>
      </w:pPr>
      <w:r>
        <w:t xml:space="preserve">2.  </w:t>
      </w:r>
      <w:r w:rsidR="000139AF">
        <w:t>Mr. Rapp testified that the applicant hired him to design the interior of the residence and that before Mr. Rapp had been hired</w:t>
      </w:r>
      <w:r w:rsidR="00DB77B7">
        <w:t>,</w:t>
      </w:r>
      <w:r w:rsidR="000139AF">
        <w:t xml:space="preserve"> the existing windows had been replaced prior to HDC approval.  </w:t>
      </w:r>
    </w:p>
    <w:p w14:paraId="6880B6CD" w14:textId="77777777" w:rsidR="00EF71EE" w:rsidRDefault="00EF71EE" w:rsidP="00A51344">
      <w:pPr>
        <w:ind w:left="720"/>
      </w:pPr>
    </w:p>
    <w:p w14:paraId="2CF1BE53" w14:textId="5CD9D6A3" w:rsidR="00EF71EE" w:rsidRDefault="00EF71EE" w:rsidP="00A51344">
      <w:pPr>
        <w:ind w:left="720"/>
      </w:pPr>
      <w:r>
        <w:t xml:space="preserve">3.  </w:t>
      </w:r>
      <w:bookmarkStart w:id="0" w:name="_Hlk42704870"/>
      <w:r w:rsidR="000139AF">
        <w:t xml:space="preserve">Mr. Rapp testified that the replacement windows are </w:t>
      </w:r>
      <w:proofErr w:type="spellStart"/>
      <w:r w:rsidR="000139AF">
        <w:t>Brosco</w:t>
      </w:r>
      <w:proofErr w:type="spellEnd"/>
      <w:r w:rsidR="000139AF">
        <w:t xml:space="preserve"> wood single pane putty glaze with a storm panel on the exterior.  </w:t>
      </w:r>
      <w:r w:rsidR="009A5FA3">
        <w:t xml:space="preserve">  </w:t>
      </w:r>
      <w:bookmarkEnd w:id="0"/>
    </w:p>
    <w:p w14:paraId="511F468D" w14:textId="77777777" w:rsidR="00EF71EE" w:rsidRDefault="00EF71EE" w:rsidP="00A51344">
      <w:pPr>
        <w:ind w:left="720"/>
      </w:pPr>
    </w:p>
    <w:p w14:paraId="689890C9" w14:textId="4212F7BA" w:rsidR="000139AF" w:rsidRDefault="00722795" w:rsidP="000139AF">
      <w:pPr>
        <w:ind w:left="720"/>
      </w:pPr>
      <w:r>
        <w:t>4</w:t>
      </w:r>
      <w:r w:rsidR="00EF71EE">
        <w:t xml:space="preserve">.  </w:t>
      </w:r>
      <w:r w:rsidR="000139AF">
        <w:t>Preservation Planner</w:t>
      </w:r>
      <w:r w:rsidR="00DB77B7">
        <w:t xml:space="preserve">, </w:t>
      </w:r>
      <w:r w:rsidR="000139AF">
        <w:t>Helen Johnson asked for clarification re</w:t>
      </w:r>
      <w:r w:rsidR="00455F1D">
        <w:t>garding</w:t>
      </w:r>
      <w:r w:rsidR="000139AF">
        <w:t xml:space="preserve"> the replacement window design.</w:t>
      </w:r>
    </w:p>
    <w:p w14:paraId="0352C316" w14:textId="77777777" w:rsidR="00400B15" w:rsidRDefault="00400B15" w:rsidP="00EF71EE">
      <w:pPr>
        <w:ind w:left="720"/>
      </w:pPr>
    </w:p>
    <w:p w14:paraId="1912C204" w14:textId="1A225D77" w:rsidR="00400B15" w:rsidRDefault="00722795" w:rsidP="00EF71EE">
      <w:pPr>
        <w:ind w:left="720"/>
      </w:pPr>
      <w:r>
        <w:t>5</w:t>
      </w:r>
      <w:r w:rsidR="00400B15">
        <w:t xml:space="preserve">.  </w:t>
      </w:r>
      <w:r w:rsidR="000139AF">
        <w:t>Mr. Rapp testifie</w:t>
      </w:r>
      <w:r w:rsidR="00CB29E8">
        <w:t>d</w:t>
      </w:r>
      <w:r w:rsidR="000139AF">
        <w:t xml:space="preserve"> that the replacement windows ar</w:t>
      </w:r>
      <w:r w:rsidR="00455F1D">
        <w:t>e</w:t>
      </w:r>
      <w:r w:rsidR="000139AF">
        <w:t xml:space="preserve"> single pane, putty glazed with a storm panel attached separately.  </w:t>
      </w:r>
    </w:p>
    <w:p w14:paraId="7FA9CE92" w14:textId="77777777" w:rsidR="0095282B" w:rsidRDefault="0095282B" w:rsidP="00EF71EE">
      <w:pPr>
        <w:ind w:left="720"/>
      </w:pPr>
    </w:p>
    <w:p w14:paraId="3066B3F2" w14:textId="2769763D" w:rsidR="0095282B" w:rsidRDefault="00722795" w:rsidP="00EF71EE">
      <w:pPr>
        <w:ind w:left="720"/>
      </w:pPr>
      <w:r>
        <w:t>6</w:t>
      </w:r>
      <w:r w:rsidR="0095282B">
        <w:t xml:space="preserve">.  </w:t>
      </w:r>
      <w:r w:rsidR="000139AF">
        <w:t>Chairman Bjork instruct</w:t>
      </w:r>
      <w:r w:rsidR="00CB29E8">
        <w:t>ed</w:t>
      </w:r>
      <w:r w:rsidR="000139AF">
        <w:t xml:space="preserve"> Commission members to review this application as if they were seeing it for the first time, prior to the windows being removed.</w:t>
      </w:r>
      <w:r w:rsidR="009A5FA3" w:rsidRPr="009A5FA3">
        <w:t xml:space="preserve">  </w:t>
      </w:r>
    </w:p>
    <w:p w14:paraId="6F121CF5" w14:textId="77777777" w:rsidR="0095282B" w:rsidRDefault="0095282B" w:rsidP="00EF71EE">
      <w:pPr>
        <w:ind w:left="720"/>
      </w:pPr>
    </w:p>
    <w:p w14:paraId="24EDDF3D" w14:textId="091AB865" w:rsidR="0095282B" w:rsidRDefault="00722795" w:rsidP="00EF71EE">
      <w:pPr>
        <w:ind w:left="720"/>
      </w:pPr>
      <w:r>
        <w:t>7</w:t>
      </w:r>
      <w:r w:rsidR="0095282B">
        <w:t xml:space="preserve">.  </w:t>
      </w:r>
      <w:r w:rsidR="00B86EF0">
        <w:t>Commissioner Stafford ask</w:t>
      </w:r>
      <w:r w:rsidR="00CB29E8">
        <w:t>ed</w:t>
      </w:r>
      <w:r w:rsidR="00B86EF0">
        <w:t xml:space="preserve"> for a description of the</w:t>
      </w:r>
      <w:r w:rsidR="001926CA">
        <w:t xml:space="preserve"> windows prior to removal, specifically material and condition.  </w:t>
      </w:r>
      <w:r w:rsidR="009A5FA3">
        <w:t xml:space="preserve">  </w:t>
      </w:r>
      <w:r w:rsidR="0095282B">
        <w:t xml:space="preserve">  </w:t>
      </w:r>
    </w:p>
    <w:p w14:paraId="5499E0EE" w14:textId="77777777" w:rsidR="0095282B" w:rsidRDefault="0095282B" w:rsidP="00EF71EE">
      <w:pPr>
        <w:ind w:left="720"/>
      </w:pPr>
    </w:p>
    <w:p w14:paraId="740BA4EA" w14:textId="798B57BF" w:rsidR="001926CA" w:rsidRDefault="00722795" w:rsidP="00EF71EE">
      <w:pPr>
        <w:ind w:left="720"/>
      </w:pPr>
      <w:r>
        <w:t>8</w:t>
      </w:r>
      <w:r w:rsidR="0095282B">
        <w:t xml:space="preserve">.  </w:t>
      </w:r>
      <w:r w:rsidR="001926CA">
        <w:t>Mr. Rapp respond</w:t>
      </w:r>
      <w:r w:rsidR="00CB29E8">
        <w:t>ed</w:t>
      </w:r>
      <w:r w:rsidR="001926CA">
        <w:t xml:space="preserve"> that he c</w:t>
      </w:r>
      <w:r w:rsidR="00455F1D">
        <w:t xml:space="preserve">ould not </w:t>
      </w:r>
      <w:r w:rsidR="001926CA">
        <w:t xml:space="preserve">answer that question accurately since he was hired after the windows were replaced.  </w:t>
      </w:r>
    </w:p>
    <w:p w14:paraId="42F7A175" w14:textId="3440C0FF" w:rsidR="001926CA" w:rsidRDefault="001926CA" w:rsidP="00EF71EE">
      <w:pPr>
        <w:ind w:left="720"/>
      </w:pPr>
    </w:p>
    <w:p w14:paraId="3338BF2B" w14:textId="2AEFEF40" w:rsidR="001926CA" w:rsidRDefault="001926CA" w:rsidP="00EF71EE">
      <w:pPr>
        <w:ind w:left="720"/>
      </w:pPr>
      <w:r>
        <w:t>9.  Commissioner Stafford ask</w:t>
      </w:r>
      <w:r w:rsidR="00CB29E8">
        <w:t>ed</w:t>
      </w:r>
      <w:r>
        <w:t xml:space="preserve"> if an</w:t>
      </w:r>
      <w:r w:rsidR="00CB29E8">
        <w:t>y</w:t>
      </w:r>
      <w:r>
        <w:t xml:space="preserve"> original windows were removed entirely or were any windows added.</w:t>
      </w:r>
    </w:p>
    <w:p w14:paraId="07D068CC" w14:textId="4878499B" w:rsidR="001926CA" w:rsidRDefault="001926CA" w:rsidP="00EF71EE">
      <w:pPr>
        <w:ind w:left="720"/>
      </w:pPr>
    </w:p>
    <w:p w14:paraId="49ACA7AF" w14:textId="0D1DC6AF" w:rsidR="001926CA" w:rsidRDefault="001926CA" w:rsidP="00EF71EE">
      <w:pPr>
        <w:ind w:left="720"/>
      </w:pPr>
      <w:r>
        <w:t>10.  Mr. Rapp testifie</w:t>
      </w:r>
      <w:r w:rsidR="00CB29E8">
        <w:t>d</w:t>
      </w:r>
      <w:r>
        <w:t xml:space="preserve"> that no windows were re-arranged</w:t>
      </w:r>
      <w:r w:rsidR="00155EDE">
        <w:t>.</w:t>
      </w:r>
    </w:p>
    <w:p w14:paraId="1DF16AE4" w14:textId="278A066D" w:rsidR="00155EDE" w:rsidRDefault="00155EDE" w:rsidP="00EF71EE">
      <w:pPr>
        <w:ind w:left="720"/>
      </w:pPr>
    </w:p>
    <w:p w14:paraId="75255797" w14:textId="296A38D5" w:rsidR="00155EDE" w:rsidRDefault="00155EDE" w:rsidP="00EF71EE">
      <w:pPr>
        <w:ind w:left="720"/>
      </w:pPr>
      <w:r>
        <w:t>11.  Commissioner Ross comment</w:t>
      </w:r>
      <w:r w:rsidR="00CB29E8">
        <w:t>ed</w:t>
      </w:r>
      <w:r>
        <w:t xml:space="preserve"> that it is very difficult to consider an application for window replacement when the commission has no information about the windows which were replaced.  </w:t>
      </w:r>
      <w:r w:rsidR="00211CAF">
        <w:t>Commissioner</w:t>
      </w:r>
      <w:r>
        <w:t xml:space="preserve"> Stafford agree</w:t>
      </w:r>
      <w:r w:rsidR="00CB29E8">
        <w:t>d</w:t>
      </w:r>
      <w:r>
        <w:t xml:space="preserve"> that there is a lack of information.  </w:t>
      </w:r>
    </w:p>
    <w:p w14:paraId="74BC9972" w14:textId="673ABB78" w:rsidR="00155EDE" w:rsidRDefault="00155EDE" w:rsidP="00EF71EE">
      <w:pPr>
        <w:ind w:left="720"/>
      </w:pPr>
    </w:p>
    <w:p w14:paraId="5336D1EB" w14:textId="5247BA9D" w:rsidR="00155EDE" w:rsidRDefault="00155EDE" w:rsidP="00EF71EE">
      <w:pPr>
        <w:ind w:left="720"/>
      </w:pPr>
      <w:r>
        <w:t>12. Chairman Bjork agree</w:t>
      </w:r>
      <w:r w:rsidR="00CB29E8">
        <w:t>d</w:t>
      </w:r>
      <w:r>
        <w:t xml:space="preserve"> with Commissioner Ross and state</w:t>
      </w:r>
      <w:r w:rsidR="00CB29E8">
        <w:t>d</w:t>
      </w:r>
      <w:r>
        <w:t xml:space="preserve"> that without information such as material and condition the Commission would not be able to approve a request for window replacement.  </w:t>
      </w:r>
    </w:p>
    <w:p w14:paraId="264D50D1" w14:textId="73F37BF4" w:rsidR="00155EDE" w:rsidRDefault="00155EDE" w:rsidP="00EF71EE">
      <w:pPr>
        <w:ind w:left="720"/>
      </w:pPr>
    </w:p>
    <w:p w14:paraId="2E56E606" w14:textId="7F0F4B62" w:rsidR="00A566C4" w:rsidRDefault="00155EDE" w:rsidP="00155EDE">
      <w:pPr>
        <w:ind w:left="720"/>
      </w:pPr>
      <w:r>
        <w:t xml:space="preserve">13.  Commissioner </w:t>
      </w:r>
      <w:proofErr w:type="spellStart"/>
      <w:r>
        <w:t>Szapary</w:t>
      </w:r>
      <w:proofErr w:type="spellEnd"/>
      <w:r>
        <w:t xml:space="preserve"> commented that from the photogr</w:t>
      </w:r>
      <w:r w:rsidR="00455F1D">
        <w:t>aph</w:t>
      </w:r>
      <w:bookmarkStart w:id="1" w:name="_GoBack"/>
      <w:bookmarkEnd w:id="1"/>
      <w:r>
        <w:t>s provided by the applicant it appears the windows prior to replacement were original and without a window inventory it is very difficult to retroactively approve the application before the Commission.</w:t>
      </w:r>
      <w:r w:rsidR="0043589E" w:rsidRPr="0043589E">
        <w:t xml:space="preserve">  </w:t>
      </w:r>
    </w:p>
    <w:p w14:paraId="56C34CAB" w14:textId="77777777" w:rsidR="003A7824" w:rsidRDefault="003A7824" w:rsidP="0043589E"/>
    <w:p w14:paraId="1D6129D2" w14:textId="77777777" w:rsidR="001751D3" w:rsidRDefault="001751D3" w:rsidP="001751D3">
      <w:pPr>
        <w:ind w:firstLine="720"/>
      </w:pPr>
      <w:r>
        <w:t>After consideration of testimony and evidence introduced at hearing, the Commission considered the following as findings of fact:</w:t>
      </w:r>
    </w:p>
    <w:p w14:paraId="338E0DC5" w14:textId="77777777" w:rsidR="001751D3" w:rsidRPr="00032519" w:rsidRDefault="001751D3" w:rsidP="001751D3">
      <w:pPr>
        <w:ind w:firstLine="720"/>
        <w:rPr>
          <w:szCs w:val="24"/>
        </w:rPr>
      </w:pPr>
    </w:p>
    <w:p w14:paraId="6BB3060C" w14:textId="7E70621D" w:rsidR="00EE7121" w:rsidRDefault="00922C8E" w:rsidP="00EE7121">
      <w:pPr>
        <w:ind w:left="1440" w:hanging="720"/>
        <w:rPr>
          <w:szCs w:val="24"/>
        </w:rPr>
      </w:pPr>
      <w:r>
        <w:rPr>
          <w:szCs w:val="24"/>
        </w:rPr>
        <w:t>1.</w:t>
      </w:r>
      <w:r w:rsidRPr="00922C8E">
        <w:rPr>
          <w:szCs w:val="24"/>
        </w:rPr>
        <w:tab/>
      </w:r>
      <w:r w:rsidR="002C4D67">
        <w:rPr>
          <w:szCs w:val="24"/>
        </w:rPr>
        <w:t>34 Elm</w:t>
      </w:r>
      <w:r w:rsidR="009A5FA3">
        <w:rPr>
          <w:szCs w:val="24"/>
        </w:rPr>
        <w:t xml:space="preserve"> Street</w:t>
      </w:r>
      <w:r w:rsidR="00EE7121" w:rsidRPr="00EE7121">
        <w:rPr>
          <w:szCs w:val="24"/>
        </w:rPr>
        <w:t xml:space="preserve"> is located in the Newport National Historic Landmark District and the Newport Local Historic District.</w:t>
      </w:r>
    </w:p>
    <w:p w14:paraId="4DFBDF23" w14:textId="77777777" w:rsidR="00EE7121" w:rsidRPr="00EE7121" w:rsidRDefault="00EE7121" w:rsidP="00EE7121">
      <w:pPr>
        <w:ind w:left="1440" w:hanging="720"/>
        <w:rPr>
          <w:szCs w:val="24"/>
        </w:rPr>
      </w:pPr>
    </w:p>
    <w:p w14:paraId="52AC2764" w14:textId="1C181469" w:rsidR="00EE7121" w:rsidRDefault="00EE7121" w:rsidP="00EE7121">
      <w:pPr>
        <w:ind w:left="1440" w:hanging="720"/>
        <w:rPr>
          <w:szCs w:val="24"/>
        </w:rPr>
      </w:pPr>
      <w:r w:rsidRPr="00EE7121">
        <w:rPr>
          <w:szCs w:val="24"/>
        </w:rPr>
        <w:t>2.</w:t>
      </w:r>
      <w:r w:rsidRPr="00EE7121">
        <w:rPr>
          <w:szCs w:val="24"/>
        </w:rPr>
        <w:tab/>
      </w:r>
      <w:r w:rsidR="002C4D67">
        <w:rPr>
          <w:szCs w:val="24"/>
        </w:rPr>
        <w:t>34 Elm</w:t>
      </w:r>
      <w:r w:rsidR="009A5FA3">
        <w:rPr>
          <w:szCs w:val="24"/>
        </w:rPr>
        <w:t xml:space="preserve"> Street</w:t>
      </w:r>
      <w:r w:rsidRPr="00EE7121">
        <w:rPr>
          <w:szCs w:val="24"/>
        </w:rPr>
        <w:t xml:space="preserve"> was constructed circa 18</w:t>
      </w:r>
      <w:r w:rsidR="00907593">
        <w:rPr>
          <w:szCs w:val="24"/>
        </w:rPr>
        <w:t xml:space="preserve">25 </w:t>
      </w:r>
      <w:r w:rsidRPr="00EE7121">
        <w:rPr>
          <w:szCs w:val="24"/>
        </w:rPr>
        <w:t>and is listed as a contributing building.</w:t>
      </w:r>
    </w:p>
    <w:p w14:paraId="317013D3" w14:textId="77777777" w:rsidR="004B5315" w:rsidRDefault="004B5315" w:rsidP="00EE7121">
      <w:pPr>
        <w:ind w:left="1440" w:hanging="720"/>
        <w:rPr>
          <w:szCs w:val="24"/>
        </w:rPr>
      </w:pPr>
    </w:p>
    <w:p w14:paraId="33B56018" w14:textId="77777777" w:rsidR="001751D3" w:rsidRPr="00032519" w:rsidRDefault="004A7763" w:rsidP="00EE7121">
      <w:pPr>
        <w:ind w:left="1440" w:hanging="720"/>
        <w:rPr>
          <w:szCs w:val="24"/>
        </w:rPr>
      </w:pPr>
      <w:r>
        <w:rPr>
          <w:szCs w:val="24"/>
        </w:rPr>
        <w:t>3</w:t>
      </w:r>
      <w:r w:rsidR="00E22D37">
        <w:rPr>
          <w:szCs w:val="24"/>
        </w:rPr>
        <w:t>. The applicable Newport S</w:t>
      </w:r>
      <w:r w:rsidR="001751D3" w:rsidRPr="00032519">
        <w:rPr>
          <w:szCs w:val="24"/>
        </w:rPr>
        <w:t>tandards</w:t>
      </w:r>
      <w:r w:rsidR="00E22D37">
        <w:rPr>
          <w:szCs w:val="24"/>
        </w:rPr>
        <w:t xml:space="preserve"> for Treatment of Historic P</w:t>
      </w:r>
      <w:r w:rsidR="001751D3" w:rsidRPr="00032519">
        <w:rPr>
          <w:szCs w:val="24"/>
        </w:rPr>
        <w:t>roperties are:</w:t>
      </w:r>
    </w:p>
    <w:p w14:paraId="50343569" w14:textId="77777777" w:rsidR="001751D3" w:rsidRPr="00032519" w:rsidRDefault="001751D3" w:rsidP="001751D3">
      <w:pPr>
        <w:ind w:firstLine="720"/>
        <w:rPr>
          <w:szCs w:val="24"/>
        </w:rPr>
      </w:pPr>
    </w:p>
    <w:p w14:paraId="7DF1DBED" w14:textId="77777777" w:rsidR="00021746" w:rsidRPr="00021746" w:rsidRDefault="00021746" w:rsidP="00021746">
      <w:pPr>
        <w:ind w:left="720"/>
        <w:rPr>
          <w:szCs w:val="24"/>
          <w:bdr w:val="none" w:sz="0" w:space="0" w:color="auto" w:frame="1"/>
        </w:rPr>
      </w:pPr>
      <w:r w:rsidRPr="00021746">
        <w:rPr>
          <w:b/>
          <w:szCs w:val="24"/>
          <w:bdr w:val="none" w:sz="0" w:space="0" w:color="auto" w:frame="1"/>
        </w:rPr>
        <w:t>17.80.</w:t>
      </w:r>
      <w:proofErr w:type="gramStart"/>
      <w:r w:rsidRPr="00021746">
        <w:rPr>
          <w:b/>
          <w:szCs w:val="24"/>
          <w:bdr w:val="none" w:sz="0" w:space="0" w:color="auto" w:frame="1"/>
        </w:rPr>
        <w:t>060.A.</w:t>
      </w:r>
      <w:proofErr w:type="gramEnd"/>
      <w:r w:rsidRPr="00021746">
        <w:rPr>
          <w:b/>
          <w:szCs w:val="24"/>
          <w:bdr w:val="none" w:sz="0" w:space="0" w:color="auto" w:frame="1"/>
        </w:rPr>
        <w:t xml:space="preserve">1.  Retain Historic Character - </w:t>
      </w:r>
      <w:r w:rsidRPr="00021746">
        <w:rPr>
          <w:szCs w:val="24"/>
          <w:bdr w:val="none" w:sz="0" w:space="0" w:color="auto" w:frame="1"/>
        </w:rPr>
        <w:t>Retain and preserve the historic character of a Contributing Structure. The removal of historic materials or alteration of features and spaces that characterize a Contributing Structure should not be undertaken.</w:t>
      </w:r>
    </w:p>
    <w:p w14:paraId="428F0AAF" w14:textId="77777777" w:rsidR="00021746" w:rsidRPr="00021746" w:rsidRDefault="00021746" w:rsidP="00021746">
      <w:pPr>
        <w:ind w:left="720"/>
        <w:rPr>
          <w:szCs w:val="24"/>
          <w:bdr w:val="none" w:sz="0" w:space="0" w:color="auto" w:frame="1"/>
        </w:rPr>
      </w:pPr>
      <w:r w:rsidRPr="00021746">
        <w:rPr>
          <w:b/>
          <w:szCs w:val="24"/>
          <w:bdr w:val="none" w:sz="0" w:space="0" w:color="auto" w:frame="1"/>
        </w:rPr>
        <w:t>17.80.</w:t>
      </w:r>
      <w:proofErr w:type="gramStart"/>
      <w:r w:rsidRPr="00021746">
        <w:rPr>
          <w:b/>
          <w:szCs w:val="24"/>
          <w:bdr w:val="none" w:sz="0" w:space="0" w:color="auto" w:frame="1"/>
        </w:rPr>
        <w:t>060.A.</w:t>
      </w:r>
      <w:proofErr w:type="gramEnd"/>
      <w:r w:rsidRPr="00021746">
        <w:rPr>
          <w:b/>
          <w:szCs w:val="24"/>
          <w:bdr w:val="none" w:sz="0" w:space="0" w:color="auto" w:frame="1"/>
        </w:rPr>
        <w:t xml:space="preserve">2.  Avoid Conjecture - </w:t>
      </w:r>
      <w:r w:rsidRPr="00021746">
        <w:rPr>
          <w:szCs w:val="24"/>
          <w:bdr w:val="none" w:sz="0" w:space="0" w:color="auto" w:frame="1"/>
        </w:rPr>
        <w:t>The buildings of Newport are a physical record of their time, place and use. Avoid changes that create a false sense of historical development, such as adding a conjectural feature or architectural elements from other buildings.</w:t>
      </w:r>
    </w:p>
    <w:p w14:paraId="0499B185" w14:textId="77777777" w:rsidR="00021746" w:rsidRPr="00021746" w:rsidRDefault="00021746" w:rsidP="00021746">
      <w:pPr>
        <w:ind w:left="720"/>
        <w:rPr>
          <w:szCs w:val="24"/>
          <w:bdr w:val="none" w:sz="0" w:space="0" w:color="auto" w:frame="1"/>
        </w:rPr>
      </w:pPr>
      <w:r w:rsidRPr="00021746">
        <w:rPr>
          <w:b/>
          <w:szCs w:val="24"/>
          <w:bdr w:val="none" w:sz="0" w:space="0" w:color="auto" w:frame="1"/>
        </w:rPr>
        <w:t>17.80.</w:t>
      </w:r>
      <w:proofErr w:type="gramStart"/>
      <w:r w:rsidRPr="00021746">
        <w:rPr>
          <w:b/>
          <w:szCs w:val="24"/>
          <w:bdr w:val="none" w:sz="0" w:space="0" w:color="auto" w:frame="1"/>
        </w:rPr>
        <w:t>060.A.</w:t>
      </w:r>
      <w:proofErr w:type="gramEnd"/>
      <w:r w:rsidRPr="00021746">
        <w:rPr>
          <w:b/>
          <w:szCs w:val="24"/>
          <w:bdr w:val="none" w:sz="0" w:space="0" w:color="auto" w:frame="1"/>
        </w:rPr>
        <w:t xml:space="preserve">3.  Maintain Significant Alterations - </w:t>
      </w:r>
      <w:r w:rsidRPr="00021746">
        <w:rPr>
          <w:szCs w:val="24"/>
          <w:bdr w:val="none" w:sz="0" w:space="0" w:color="auto" w:frame="1"/>
        </w:rPr>
        <w:t>Retain and preserve changes to a Contributing Structure that have acquired historic significance in their own right.</w:t>
      </w:r>
    </w:p>
    <w:p w14:paraId="173BFBE8" w14:textId="77777777" w:rsidR="00021746" w:rsidRDefault="00021746" w:rsidP="00021746">
      <w:pPr>
        <w:ind w:left="720"/>
        <w:rPr>
          <w:szCs w:val="24"/>
          <w:bdr w:val="none" w:sz="0" w:space="0" w:color="auto" w:frame="1"/>
        </w:rPr>
      </w:pPr>
      <w:r w:rsidRPr="00021746">
        <w:rPr>
          <w:b/>
          <w:szCs w:val="24"/>
          <w:bdr w:val="none" w:sz="0" w:space="0" w:color="auto" w:frame="1"/>
        </w:rPr>
        <w:t>17.80.</w:t>
      </w:r>
      <w:proofErr w:type="gramStart"/>
      <w:r w:rsidRPr="00021746">
        <w:rPr>
          <w:b/>
          <w:szCs w:val="24"/>
          <w:bdr w:val="none" w:sz="0" w:space="0" w:color="auto" w:frame="1"/>
        </w:rPr>
        <w:t>060.A.</w:t>
      </w:r>
      <w:proofErr w:type="gramEnd"/>
      <w:r w:rsidRPr="00021746">
        <w:rPr>
          <w:b/>
          <w:szCs w:val="24"/>
          <w:bdr w:val="none" w:sz="0" w:space="0" w:color="auto" w:frame="1"/>
        </w:rPr>
        <w:t xml:space="preserve">4.  Preserve Character - Defining Features and Workmanship - </w:t>
      </w:r>
      <w:r w:rsidRPr="00021746">
        <w:rPr>
          <w:szCs w:val="24"/>
          <w:bdr w:val="none" w:sz="0" w:space="0" w:color="auto" w:frame="1"/>
        </w:rPr>
        <w:t>Preserve distinctive features, finishes and construction techniques or examples of craftsmanship that characterize a Contributing Structure.</w:t>
      </w:r>
    </w:p>
    <w:p w14:paraId="733BBCC8" w14:textId="77777777" w:rsidR="009A5FA3" w:rsidRPr="009A5FA3" w:rsidRDefault="009A5FA3" w:rsidP="009A5FA3">
      <w:pPr>
        <w:ind w:left="720"/>
        <w:rPr>
          <w:szCs w:val="24"/>
          <w:bdr w:val="none" w:sz="0" w:space="0" w:color="auto" w:frame="1"/>
        </w:rPr>
      </w:pPr>
      <w:r w:rsidRPr="009A5FA3">
        <w:rPr>
          <w:b/>
          <w:szCs w:val="24"/>
          <w:bdr w:val="none" w:sz="0" w:space="0" w:color="auto" w:frame="1"/>
        </w:rPr>
        <w:t>17.80.</w:t>
      </w:r>
      <w:proofErr w:type="gramStart"/>
      <w:r w:rsidRPr="009A5FA3">
        <w:rPr>
          <w:b/>
          <w:szCs w:val="24"/>
          <w:bdr w:val="none" w:sz="0" w:space="0" w:color="auto" w:frame="1"/>
        </w:rPr>
        <w:t>060.A.</w:t>
      </w:r>
      <w:proofErr w:type="gramEnd"/>
      <w:r w:rsidRPr="009A5FA3">
        <w:rPr>
          <w:b/>
          <w:szCs w:val="24"/>
          <w:bdr w:val="none" w:sz="0" w:space="0" w:color="auto" w:frame="1"/>
        </w:rPr>
        <w:t>5.  Repair before Replacement –</w:t>
      </w:r>
      <w:r w:rsidRPr="009A5FA3">
        <w:rPr>
          <w:szCs w:val="24"/>
          <w:bdr w:val="none" w:sz="0" w:space="0" w:color="auto" w:frame="1"/>
        </w:rPr>
        <w:t xml:space="preserve"> The historic materials out of which Contributing Structures buildings are constructed are significant and once lost, they cannot be recovered. Every effort should be made to repair rather than replace deteriorated historic fabric and features. When the severity of deterioration requires replacement of features or fabric, the replacement should </w:t>
      </w:r>
      <w:r w:rsidRPr="009A5FA3">
        <w:rPr>
          <w:szCs w:val="24"/>
          <w:bdr w:val="none" w:sz="0" w:space="0" w:color="auto" w:frame="1"/>
        </w:rPr>
        <w:lastRenderedPageBreak/>
        <w:t>match the old in materials, dimensions, design, configuration, texture and visual appearance.</w:t>
      </w:r>
    </w:p>
    <w:p w14:paraId="55C64C20" w14:textId="77777777" w:rsidR="009A5FA3" w:rsidRPr="00021746" w:rsidRDefault="009A5FA3" w:rsidP="009A5FA3">
      <w:pPr>
        <w:ind w:left="720"/>
        <w:rPr>
          <w:szCs w:val="24"/>
          <w:bdr w:val="none" w:sz="0" w:space="0" w:color="auto" w:frame="1"/>
        </w:rPr>
      </w:pPr>
      <w:r w:rsidRPr="009A5FA3">
        <w:rPr>
          <w:b/>
          <w:szCs w:val="24"/>
          <w:bdr w:val="none" w:sz="0" w:space="0" w:color="auto" w:frame="1"/>
        </w:rPr>
        <w:t>17.80.</w:t>
      </w:r>
      <w:proofErr w:type="gramStart"/>
      <w:r w:rsidRPr="009A5FA3">
        <w:rPr>
          <w:b/>
          <w:szCs w:val="24"/>
          <w:bdr w:val="none" w:sz="0" w:space="0" w:color="auto" w:frame="1"/>
        </w:rPr>
        <w:t>060.A.</w:t>
      </w:r>
      <w:proofErr w:type="gramEnd"/>
      <w:r w:rsidRPr="009A5FA3">
        <w:rPr>
          <w:b/>
          <w:szCs w:val="24"/>
          <w:bdr w:val="none" w:sz="0" w:space="0" w:color="auto" w:frame="1"/>
        </w:rPr>
        <w:t xml:space="preserve">6.  Avoid Damaging Treatments – </w:t>
      </w:r>
      <w:r w:rsidRPr="009A5FA3">
        <w:rPr>
          <w:szCs w:val="24"/>
          <w:bdr w:val="none" w:sz="0" w:space="0" w:color="auto" w:frame="1"/>
        </w:rPr>
        <w:t>Do not use chemical or physical treatments, such as sandblasting, that cause damage to historic materials.</w:t>
      </w:r>
    </w:p>
    <w:p w14:paraId="3363510D" w14:textId="77777777" w:rsidR="0069242D" w:rsidRDefault="00021746" w:rsidP="00021746">
      <w:pPr>
        <w:ind w:left="720"/>
        <w:rPr>
          <w:szCs w:val="24"/>
          <w:bdr w:val="none" w:sz="0" w:space="0" w:color="auto" w:frame="1"/>
        </w:rPr>
      </w:pPr>
      <w:r w:rsidRPr="00021746">
        <w:rPr>
          <w:b/>
          <w:szCs w:val="24"/>
          <w:bdr w:val="none" w:sz="0" w:space="0" w:color="auto" w:frame="1"/>
        </w:rPr>
        <w:t>17.80.</w:t>
      </w:r>
      <w:proofErr w:type="gramStart"/>
      <w:r w:rsidRPr="00021746">
        <w:rPr>
          <w:b/>
          <w:szCs w:val="24"/>
          <w:bdr w:val="none" w:sz="0" w:space="0" w:color="auto" w:frame="1"/>
        </w:rPr>
        <w:t>060.A.</w:t>
      </w:r>
      <w:proofErr w:type="gramEnd"/>
      <w:r w:rsidRPr="00021746">
        <w:rPr>
          <w:b/>
          <w:szCs w:val="24"/>
          <w:bdr w:val="none" w:sz="0" w:space="0" w:color="auto" w:frame="1"/>
        </w:rPr>
        <w:t xml:space="preserve">7.  Minimize Harm from Alterations – </w:t>
      </w:r>
      <w:r w:rsidRPr="00021746">
        <w:rPr>
          <w:szCs w:val="24"/>
          <w:bdr w:val="none" w:sz="0" w:space="0" w:color="auto" w:frame="1"/>
        </w:rPr>
        <w:t>Undertake exterior alterations, including new additions, in such a manner that minimizes harm to historic materials and that if removed will not change the essential form and integrity of a Contributing Structure. Make proposed additions or exterior alterations to a Contributing Structure compatible with the existing materials, features, size, visual relationships and massing to protect the integrity and scale of the original historic structure or site. Make new alterations or additions clearly discernible from the old. The differentiations may or may not be stylistic, and may be as subtle as a change in footprint or material.</w:t>
      </w:r>
    </w:p>
    <w:p w14:paraId="1958A51A" w14:textId="77777777" w:rsidR="009E1092" w:rsidRDefault="009E1092" w:rsidP="00455F1D"/>
    <w:p w14:paraId="5D4B50B6" w14:textId="42B23AC5" w:rsidR="009E1092" w:rsidRDefault="009E1092" w:rsidP="001751D3">
      <w:pPr>
        <w:ind w:firstLine="720"/>
      </w:pPr>
      <w:r>
        <w:t xml:space="preserve">Upon a motion duly made and seconded, the Commission found that the </w:t>
      </w:r>
      <w:r w:rsidR="009D0669">
        <w:t xml:space="preserve">proposed </w:t>
      </w:r>
      <w:r w:rsidR="00A566C4">
        <w:t>changes b</w:t>
      </w:r>
      <w:r w:rsidR="003037AC">
        <w:t xml:space="preserve">eing in conflict with the aforementioned </w:t>
      </w:r>
      <w:r w:rsidR="003037AC">
        <w:rPr>
          <w:szCs w:val="24"/>
        </w:rPr>
        <w:t>Newport S</w:t>
      </w:r>
      <w:r w:rsidR="003037AC" w:rsidRPr="00032519">
        <w:rPr>
          <w:szCs w:val="24"/>
        </w:rPr>
        <w:t>tandards</w:t>
      </w:r>
      <w:r w:rsidR="003037AC">
        <w:rPr>
          <w:szCs w:val="24"/>
        </w:rPr>
        <w:t xml:space="preserve"> for Treatment of Historic P</w:t>
      </w:r>
      <w:r w:rsidR="003037AC" w:rsidRPr="00032519">
        <w:rPr>
          <w:szCs w:val="24"/>
        </w:rPr>
        <w:t>roperties</w:t>
      </w:r>
      <w:r>
        <w:t xml:space="preserve">; </w:t>
      </w:r>
      <w:proofErr w:type="gramStart"/>
      <w:r>
        <w:t>therefore</w:t>
      </w:r>
      <w:proofErr w:type="gramEnd"/>
      <w:r>
        <w:t xml:space="preserve"> the request for a Certificate of App</w:t>
      </w:r>
      <w:r w:rsidR="00BD47AE">
        <w:t xml:space="preserve">ropriateness was denied on a </w:t>
      </w:r>
      <w:r w:rsidR="002C4D67">
        <w:t>7-0</w:t>
      </w:r>
      <w:r>
        <w:t xml:space="preserve"> vote. </w:t>
      </w:r>
      <w:r w:rsidR="00BD47AE">
        <w:t xml:space="preserve"> </w:t>
      </w:r>
    </w:p>
    <w:p w14:paraId="4A855FB9" w14:textId="77777777" w:rsidR="002C4D67" w:rsidRDefault="002C4D67" w:rsidP="001751D3">
      <w:pPr>
        <w:ind w:firstLine="720"/>
        <w:rPr>
          <w:color w:val="000000"/>
        </w:rPr>
      </w:pPr>
    </w:p>
    <w:p w14:paraId="2D643D25" w14:textId="77777777" w:rsidR="001751D3" w:rsidRDefault="001751D3" w:rsidP="001751D3">
      <w:pPr>
        <w:ind w:firstLine="720"/>
      </w:pPr>
      <w:r w:rsidRPr="00E93F56">
        <w:rPr>
          <w:color w:val="000000"/>
        </w:rPr>
        <w:t>The</w:t>
      </w:r>
      <w:r>
        <w:rPr>
          <w:color w:val="000000"/>
        </w:rPr>
        <w:t xml:space="preserve"> application failed to receive four or a majority of </w:t>
      </w:r>
      <w:r w:rsidR="00F925E6">
        <w:rPr>
          <w:color w:val="000000"/>
        </w:rPr>
        <w:t>affirmative votes from the s</w:t>
      </w:r>
      <w:r w:rsidR="00DC2869">
        <w:rPr>
          <w:color w:val="000000"/>
        </w:rPr>
        <w:t>even</w:t>
      </w:r>
      <w:r>
        <w:rPr>
          <w:color w:val="000000"/>
        </w:rPr>
        <w:t xml:space="preserve"> members voting, therefore pursuant to Section 17.88.040(C)(3)(f) of the code, the application was denied</w:t>
      </w:r>
      <w:r>
        <w:t>.</w:t>
      </w:r>
    </w:p>
    <w:p w14:paraId="798A84E9" w14:textId="77777777" w:rsidR="001751D3" w:rsidRDefault="001751D3" w:rsidP="001751D3">
      <w:pPr>
        <w:ind w:firstLine="720"/>
      </w:pPr>
    </w:p>
    <w:p w14:paraId="5219E1FE" w14:textId="77777777" w:rsidR="004B5315" w:rsidRDefault="004B5315" w:rsidP="001751D3"/>
    <w:p w14:paraId="45FFB726" w14:textId="77777777" w:rsidR="001751D3" w:rsidRDefault="006E00DA" w:rsidP="001751D3">
      <w:r>
        <w:rPr>
          <w:noProof/>
        </w:rPr>
        <mc:AlternateContent>
          <mc:Choice Requires="wps">
            <w:drawing>
              <wp:anchor distT="0" distB="0" distL="114300" distR="114300" simplePos="0" relativeHeight="251659264" behindDoc="0" locked="0" layoutInCell="0" allowOverlap="1" wp14:anchorId="4DF7EA9B" wp14:editId="3AF00EBB">
                <wp:simplePos x="0" y="0"/>
                <wp:positionH relativeFrom="column">
                  <wp:posOffset>-45720</wp:posOffset>
                </wp:positionH>
                <wp:positionV relativeFrom="paragraph">
                  <wp:posOffset>121920</wp:posOffset>
                </wp:positionV>
                <wp:extent cx="201168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AEB18" id="Line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154.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PLSmN66AiErtbCiOntWL2Wr63SGlq5aoA48UXy8G8rKQkbxJCRtn4IJ9/1kziCFHr2Of&#10;zo3tAiR0AJ2jHJe7HPzsEYVD6Eg2m4NqdPAlpBgSjXX+E9cdCkaJJZCOwOS0dT4QIcUQEu5ReiOk&#10;jGpLhfoSL6aTaUxwWgoWnCHM2cO+khadSJiX+MWqwPMYZvVRsQjWcsLWN9sTIa82XC5VwINSgM7N&#10;ug7Ej0W6WM/X83yUT2brUZ7W9ejjpspHs032YVo/1VVVZz8DtSwvWsEYV4HdMJxZ/nfi357Jdazu&#10;43lvQ/IWPfYLyA7/SDpqGeS7DsJes8vODhrDPMbg29sJA/+4B/vxha9+AQAA//8DAFBLAwQUAAYA&#10;CAAAACEARdMl8twAAAAIAQAADwAAAGRycy9kb3ducmV2LnhtbEyPQU/DMAyF70j8h8hIXKYtpZPG&#10;VppOCOiNCwO0q9eYtqJxuibbCr8eox3gZPm9p+fP+Xp0nTrSEFrPBm5mCSjiytuWawNvr+V0CSpE&#10;ZIudZzLwRQHWxeVFjpn1J36h4ybWSko4ZGigibHPtA5VQw7DzPfE4n34wWGUdai1HfAk5a7TaZIs&#10;tMOW5UKDPT00VH1uDs5AKN9pX35Pqkmyndee0v3j8xMac3013t+BijTGvzD84gs6FMK08we2QXUG&#10;prepJEVfyRR/nqwWoHZnQRe5/v9A8QMAAP//AwBQSwECLQAUAAYACAAAACEAtoM4kv4AAADhAQAA&#10;EwAAAAAAAAAAAAAAAAAAAAAAW0NvbnRlbnRfVHlwZXNdLnhtbFBLAQItABQABgAIAAAAIQA4/SH/&#10;1gAAAJQBAAALAAAAAAAAAAAAAAAAAC8BAABfcmVscy8ucmVsc1BLAQItABQABgAIAAAAIQB/sICi&#10;EgIAACkEAAAOAAAAAAAAAAAAAAAAAC4CAABkcnMvZTJvRG9jLnhtbFBLAQItABQABgAIAAAAIQBF&#10;0yXy3AAAAAgBAAAPAAAAAAAAAAAAAAAAAGwEAABkcnMvZG93bnJldi54bWxQSwUGAAAAAAQABADz&#10;AAAAdQUAAAAA&#10;" o:allowincell="f"/>
            </w:pict>
          </mc:Fallback>
        </mc:AlternateContent>
      </w:r>
    </w:p>
    <w:p w14:paraId="7E21F987" w14:textId="77777777" w:rsidR="001751D3" w:rsidRDefault="0043589E">
      <w:r>
        <w:t>Karl Bjork</w:t>
      </w:r>
      <w:r w:rsidR="001751D3">
        <w:t>, Chair</w:t>
      </w:r>
      <w:r w:rsidR="009E1092">
        <w:tab/>
      </w:r>
      <w:r w:rsidR="009E1092">
        <w:tab/>
      </w:r>
      <w:r w:rsidR="009E1092">
        <w:tab/>
      </w:r>
      <w:r w:rsidR="009E1092">
        <w:tab/>
      </w:r>
      <w:r w:rsidR="009E1092">
        <w:tab/>
      </w:r>
      <w:r w:rsidR="009E1092">
        <w:tab/>
      </w:r>
    </w:p>
    <w:p w14:paraId="786EB03E" w14:textId="77777777" w:rsidR="001751D3" w:rsidRDefault="001751D3"/>
    <w:p w14:paraId="496C32A2" w14:textId="77777777" w:rsidR="0043589E" w:rsidRDefault="0043589E">
      <w:r>
        <w:t>__________________________</w:t>
      </w:r>
    </w:p>
    <w:p w14:paraId="56DF5149" w14:textId="77777777" w:rsidR="00DC2869" w:rsidRDefault="0043589E" w:rsidP="005C5665">
      <w:r>
        <w:t>Diana Sylvaria, Vice Chair</w:t>
      </w:r>
    </w:p>
    <w:p w14:paraId="503E2E97" w14:textId="77777777" w:rsidR="00DC2869" w:rsidRDefault="00DC2869" w:rsidP="005C5665"/>
    <w:p w14:paraId="7C8E4539" w14:textId="77777777" w:rsidR="00DC2869" w:rsidRDefault="00DC2869" w:rsidP="005C5665"/>
    <w:p w14:paraId="79028AE6" w14:textId="77777777" w:rsidR="009E1092" w:rsidRDefault="00DC2869" w:rsidP="005C5665">
      <w:r w:rsidRPr="00DC2869">
        <w:t>Nancy Stafford, Secretary</w:t>
      </w:r>
      <w:r>
        <w:rPr>
          <w:noProof/>
        </w:rPr>
        <mc:AlternateContent>
          <mc:Choice Requires="wps">
            <w:drawing>
              <wp:anchor distT="0" distB="0" distL="114300" distR="114300" simplePos="0" relativeHeight="251661312" behindDoc="0" locked="0" layoutInCell="0" allowOverlap="1" wp14:anchorId="2671EE48" wp14:editId="7BCF0B88">
                <wp:simplePos x="0" y="0"/>
                <wp:positionH relativeFrom="column">
                  <wp:posOffset>0</wp:posOffset>
                </wp:positionH>
                <wp:positionV relativeFrom="paragraph">
                  <wp:posOffset>0</wp:posOffset>
                </wp:positionV>
                <wp:extent cx="2011680" cy="0"/>
                <wp:effectExtent l="0" t="0" r="0" b="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E443F" id="Line 3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5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6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PLSmN66AiErtbCiOntWL2Wr63SGlq5aoA48UXy8G8rKQkbxJCRtn4IJ9/1kziCFHr2Of&#10;zo3tAiR0AJ2jHJe7HPzsEYVD6Eg2m4NqdPAlpBgSjXX+E9cdCkaJJZCOwOS0dT4QIcUQEu5ReiOk&#10;jGpLhXoodzqZxgSnpWDBGcKcPewradGJhHmJX6wKPI9hVh8Vi2AtJ2x9sz0R8mrD5VIFPCgF6Nys&#10;60D8WKSL9Xw9z0f5ZLYe5Wldjz5uqnw022QfpvVTXVV19jNQy/KiFYxxFdgNw5nlfyf+7Zlcx+o+&#10;nvc2JG/RY7+A7PCPpKOWQb7rIOw1u+zsoDHMYwy+vZ0w8I97sB9f+OoXAAAA//8DAFBLAwQUAAYA&#10;CAAAACEAgppuENgAAAACAQAADwAAAGRycy9kb3ducmV2LnhtbEyPQWvCQBCF74X+h2UKvUjdqCAl&#10;ZiNFm1svVUuvY3ZMQrOzMbtq2l/fsRd7GXi8x5vvZcvBtepMfWg8G5iME1DEpbcNVwZ22+LpGVSI&#10;yBZbz2TgmwIs8/u7DFPrL/xO502slJRwSNFAHWOXah3KmhyGse+IxTv43mEU2Vfa9niRctfqaZLM&#10;tcOG5UONHa1qKr82J2cgFB90LH5G5Sj5nFWepsf12ysa8/gwvCxARRriLQxXfEGHXJj2/sQ2qNaA&#10;DIl/V7zZZC4z9lep80z/R89/AQAA//8DAFBLAQItABQABgAIAAAAIQC2gziS/gAAAOEBAAATAAAA&#10;AAAAAAAAAAAAAAAAAABbQ29udGVudF9UeXBlc10ueG1sUEsBAi0AFAAGAAgAAAAhADj9If/WAAAA&#10;lAEAAAsAAAAAAAAAAAAAAAAALwEAAF9yZWxzLy5yZWxzUEsBAi0AFAAGAAgAAAAhAJo1jrUSAgAA&#10;KQQAAA4AAAAAAAAAAAAAAAAALgIAAGRycy9lMm9Eb2MueG1sUEsBAi0AFAAGAAgAAAAhAIKabhDY&#10;AAAAAgEAAA8AAAAAAAAAAAAAAAAAbAQAAGRycy9kb3ducmV2LnhtbFBLBQYAAAAABAAEAPMAAABx&#10;BQAAAAA=&#10;" o:allowincell="f"/>
            </w:pict>
          </mc:Fallback>
        </mc:AlternateContent>
      </w:r>
    </w:p>
    <w:sectPr w:rsidR="009E1092">
      <w:headerReference w:type="default" r:id="rId7"/>
      <w:footerReference w:type="default" r:id="rId8"/>
      <w:pgSz w:w="12240" w:h="15840"/>
      <w:pgMar w:top="1440" w:right="1800" w:bottom="1440" w:left="1800" w:header="720" w:footer="1109"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5B210" w14:textId="77777777" w:rsidR="00155EDE" w:rsidRDefault="00155EDE">
      <w:r>
        <w:separator/>
      </w:r>
    </w:p>
  </w:endnote>
  <w:endnote w:type="continuationSeparator" w:id="0">
    <w:p w14:paraId="77704B90" w14:textId="77777777" w:rsidR="00155EDE" w:rsidRDefault="0015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E92CB" w14:textId="77777777" w:rsidR="00155EDE" w:rsidRDefault="00155ED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16E31" w14:textId="77777777" w:rsidR="00155EDE" w:rsidRDefault="00155EDE">
      <w:r>
        <w:separator/>
      </w:r>
    </w:p>
  </w:footnote>
  <w:footnote w:type="continuationSeparator" w:id="0">
    <w:p w14:paraId="62A2B178" w14:textId="77777777" w:rsidR="00155EDE" w:rsidRDefault="00155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CDA2" w14:textId="0D5C12FC" w:rsidR="00155EDE" w:rsidRDefault="002C4D67">
    <w:pPr>
      <w:pStyle w:val="Header"/>
    </w:pPr>
    <w:r w:rsidRPr="002C4D67">
      <w:rPr>
        <w:sz w:val="20"/>
      </w:rPr>
      <w:t xml:space="preserve">Mr. Luke </w:t>
    </w:r>
    <w:proofErr w:type="spellStart"/>
    <w:r w:rsidRPr="002C4D67">
      <w:rPr>
        <w:sz w:val="20"/>
      </w:rPr>
      <w:t>Fluery</w:t>
    </w:r>
    <w:proofErr w:type="spellEnd"/>
    <w:r w:rsidRPr="002C4D67">
      <w:rPr>
        <w:sz w:val="20"/>
      </w:rPr>
      <w:t>, 34 Elm Street, Plat 16, Lot 42</w:t>
    </w:r>
    <w:r w:rsidRPr="002C4D67">
      <w:rPr>
        <w:sz w:val="20"/>
      </w:rPr>
      <w:t xml:space="preserve"> </w:t>
    </w:r>
    <w:r w:rsidR="00155EDE" w:rsidRPr="002C4D67">
      <w:rPr>
        <w:sz w:val="20"/>
      </w:rPr>
      <w:t>Decision</w:t>
    </w:r>
    <w:r w:rsidR="00155EDE">
      <w:tab/>
    </w:r>
    <w:r w:rsidR="00155EDE">
      <w:tab/>
    </w:r>
    <w:r w:rsidR="00155EDE">
      <w:rPr>
        <w:rStyle w:val="PageNumber"/>
      </w:rPr>
      <w:fldChar w:fldCharType="begin"/>
    </w:r>
    <w:r w:rsidR="00155EDE">
      <w:rPr>
        <w:rStyle w:val="PageNumber"/>
      </w:rPr>
      <w:instrText xml:space="preserve"> PAGE </w:instrText>
    </w:r>
    <w:r w:rsidR="00155EDE">
      <w:rPr>
        <w:rStyle w:val="PageNumber"/>
      </w:rPr>
      <w:fldChar w:fldCharType="separate"/>
    </w:r>
    <w:r w:rsidR="00155EDE">
      <w:rPr>
        <w:rStyle w:val="PageNumber"/>
        <w:noProof/>
      </w:rPr>
      <w:t>3</w:t>
    </w:r>
    <w:r w:rsidR="00155EDE">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B84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372D56"/>
    <w:multiLevelType w:val="hybridMultilevel"/>
    <w:tmpl w:val="0D585C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517A8C"/>
    <w:multiLevelType w:val="hybridMultilevel"/>
    <w:tmpl w:val="5ED6BB14"/>
    <w:lvl w:ilvl="0" w:tplc="FBDCD8B6">
      <w:start w:val="4"/>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722DEE"/>
    <w:multiLevelType w:val="singleLevel"/>
    <w:tmpl w:val="70CCAB2E"/>
    <w:lvl w:ilvl="0">
      <w:start w:val="1"/>
      <w:numFmt w:val="decimal"/>
      <w:lvlText w:val="%1."/>
      <w:lvlJc w:val="left"/>
      <w:pPr>
        <w:tabs>
          <w:tab w:val="num" w:pos="1080"/>
        </w:tabs>
        <w:ind w:left="1080" w:hanging="360"/>
      </w:pPr>
      <w:rPr>
        <w:rFonts w:hint="default"/>
      </w:rPr>
    </w:lvl>
  </w:abstractNum>
  <w:abstractNum w:abstractNumId="4" w15:restartNumberingAfterBreak="0">
    <w:nsid w:val="2C9042B6"/>
    <w:multiLevelType w:val="hybridMultilevel"/>
    <w:tmpl w:val="AEA0D7C0"/>
    <w:lvl w:ilvl="0" w:tplc="559E046A">
      <w:start w:val="4"/>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8B6320"/>
    <w:multiLevelType w:val="hybridMultilevel"/>
    <w:tmpl w:val="09BC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B44EA7"/>
    <w:multiLevelType w:val="multilevel"/>
    <w:tmpl w:val="B478DA6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373D7073"/>
    <w:multiLevelType w:val="hybridMultilevel"/>
    <w:tmpl w:val="028CF510"/>
    <w:lvl w:ilvl="0" w:tplc="BF409B4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9594FB2"/>
    <w:multiLevelType w:val="hybridMultilevel"/>
    <w:tmpl w:val="B8E4AF76"/>
    <w:lvl w:ilvl="0" w:tplc="86E2F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E80244"/>
    <w:multiLevelType w:val="singleLevel"/>
    <w:tmpl w:val="4C445CD0"/>
    <w:lvl w:ilvl="0">
      <w:start w:val="1"/>
      <w:numFmt w:val="decimal"/>
      <w:lvlText w:val="%1."/>
      <w:lvlJc w:val="left"/>
      <w:pPr>
        <w:tabs>
          <w:tab w:val="num" w:pos="1080"/>
        </w:tabs>
        <w:ind w:left="1080" w:hanging="360"/>
      </w:pPr>
      <w:rPr>
        <w:rFonts w:hint="default"/>
      </w:rPr>
    </w:lvl>
  </w:abstractNum>
  <w:abstractNum w:abstractNumId="10" w15:restartNumberingAfterBreak="0">
    <w:nsid w:val="7695094F"/>
    <w:multiLevelType w:val="hybridMultilevel"/>
    <w:tmpl w:val="B478DA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9"/>
  </w:num>
  <w:num w:numId="3">
    <w:abstractNumId w:val="1"/>
  </w:num>
  <w:num w:numId="4">
    <w:abstractNumId w:val="10"/>
  </w:num>
  <w:num w:numId="5">
    <w:abstractNumId w:val="6"/>
  </w:num>
  <w:num w:numId="6">
    <w:abstractNumId w:val="2"/>
  </w:num>
  <w:num w:numId="7">
    <w:abstractNumId w:val="4"/>
  </w:num>
  <w:num w:numId="8">
    <w:abstractNumId w:val="5"/>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D6"/>
    <w:rsid w:val="000139AF"/>
    <w:rsid w:val="00021746"/>
    <w:rsid w:val="000501D9"/>
    <w:rsid w:val="000842B3"/>
    <w:rsid w:val="000923E2"/>
    <w:rsid w:val="00100289"/>
    <w:rsid w:val="00137C88"/>
    <w:rsid w:val="00155EDE"/>
    <w:rsid w:val="001751D3"/>
    <w:rsid w:val="001879A8"/>
    <w:rsid w:val="001926CA"/>
    <w:rsid w:val="001E7C84"/>
    <w:rsid w:val="00211CAF"/>
    <w:rsid w:val="002A7C8A"/>
    <w:rsid w:val="002C4D67"/>
    <w:rsid w:val="002D1B11"/>
    <w:rsid w:val="002E5214"/>
    <w:rsid w:val="003037AC"/>
    <w:rsid w:val="003A7824"/>
    <w:rsid w:val="00400B15"/>
    <w:rsid w:val="0043589E"/>
    <w:rsid w:val="00455F1D"/>
    <w:rsid w:val="00487452"/>
    <w:rsid w:val="004913B4"/>
    <w:rsid w:val="00494A86"/>
    <w:rsid w:val="004A4664"/>
    <w:rsid w:val="004A4B00"/>
    <w:rsid w:val="004A7763"/>
    <w:rsid w:val="004B5315"/>
    <w:rsid w:val="005040A2"/>
    <w:rsid w:val="005B2E79"/>
    <w:rsid w:val="005C5665"/>
    <w:rsid w:val="005C7190"/>
    <w:rsid w:val="00643F2A"/>
    <w:rsid w:val="0069242D"/>
    <w:rsid w:val="006B3379"/>
    <w:rsid w:val="006E00DA"/>
    <w:rsid w:val="00722795"/>
    <w:rsid w:val="00767023"/>
    <w:rsid w:val="008A7856"/>
    <w:rsid w:val="008B619A"/>
    <w:rsid w:val="008F2F8B"/>
    <w:rsid w:val="008F35E8"/>
    <w:rsid w:val="00907593"/>
    <w:rsid w:val="00922C8E"/>
    <w:rsid w:val="0095282B"/>
    <w:rsid w:val="009A5FA3"/>
    <w:rsid w:val="009D0669"/>
    <w:rsid w:val="009E1092"/>
    <w:rsid w:val="00A51344"/>
    <w:rsid w:val="00A566C4"/>
    <w:rsid w:val="00A625AF"/>
    <w:rsid w:val="00A744B4"/>
    <w:rsid w:val="00AB4B69"/>
    <w:rsid w:val="00B33B28"/>
    <w:rsid w:val="00B86EF0"/>
    <w:rsid w:val="00BA4593"/>
    <w:rsid w:val="00BD47AE"/>
    <w:rsid w:val="00C609F1"/>
    <w:rsid w:val="00CB29E8"/>
    <w:rsid w:val="00DB77B7"/>
    <w:rsid w:val="00DC2869"/>
    <w:rsid w:val="00E04932"/>
    <w:rsid w:val="00E22D37"/>
    <w:rsid w:val="00EE7121"/>
    <w:rsid w:val="00EF71EE"/>
    <w:rsid w:val="00F515D6"/>
    <w:rsid w:val="00F925E6"/>
    <w:rsid w:val="00FB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7773A"/>
  <w15:docId w15:val="{038B6EDE-FECD-4094-9EE3-89D39E1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rPr>
      <w:color w:val="FF0000"/>
    </w:rPr>
  </w:style>
  <w:style w:type="paragraph" w:styleId="BlockText">
    <w:name w:val="Block Text"/>
    <w:basedOn w:val="Normal"/>
    <w:pPr>
      <w:ind w:left="1440" w:right="1440" w:hanging="1440"/>
      <w:jc w:val="both"/>
    </w:pPr>
    <w:rPr>
      <w:b/>
    </w:rPr>
  </w:style>
  <w:style w:type="paragraph" w:styleId="BodyTextIndent">
    <w:name w:val="Body Text Indent"/>
    <w:basedOn w:val="Normal"/>
    <w:pPr>
      <w:ind w:left="1080" w:hanging="360"/>
    </w:pPr>
  </w:style>
  <w:style w:type="paragraph" w:styleId="NormalWeb">
    <w:name w:val="Normal (Web)"/>
    <w:basedOn w:val="Normal"/>
    <w:rsid w:val="00D3537E"/>
    <w:pPr>
      <w:spacing w:before="100" w:beforeAutospacing="1" w:after="100" w:afterAutospacing="1"/>
    </w:pPr>
    <w:rPr>
      <w:szCs w:val="24"/>
    </w:rPr>
  </w:style>
  <w:style w:type="character" w:styleId="Hyperlink">
    <w:name w:val="Hyperlink"/>
    <w:uiPriority w:val="99"/>
    <w:semiHidden/>
    <w:unhideWhenUsed/>
    <w:rsid w:val="00F0317D"/>
    <w:rPr>
      <w:color w:val="0000FF"/>
      <w:u w:val="single"/>
    </w:rPr>
  </w:style>
  <w:style w:type="paragraph" w:customStyle="1" w:styleId="MediumGrid1-Accent21">
    <w:name w:val="Medium Grid 1 - Accent 21"/>
    <w:basedOn w:val="Normal"/>
    <w:uiPriority w:val="34"/>
    <w:qFormat/>
    <w:rsid w:val="00F0317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01A2C"/>
    <w:rPr>
      <w:rFonts w:ascii="Tahoma" w:hAnsi="Tahoma"/>
      <w:sz w:val="16"/>
      <w:szCs w:val="16"/>
      <w:lang w:val="x-none" w:eastAsia="x-none"/>
    </w:rPr>
  </w:style>
  <w:style w:type="character" w:customStyle="1" w:styleId="BalloonTextChar">
    <w:name w:val="Balloon Text Char"/>
    <w:link w:val="BalloonText"/>
    <w:uiPriority w:val="99"/>
    <w:semiHidden/>
    <w:rsid w:val="00601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7700">
      <w:bodyDiv w:val="1"/>
      <w:marLeft w:val="0"/>
      <w:marRight w:val="0"/>
      <w:marTop w:val="0"/>
      <w:marBottom w:val="0"/>
      <w:divBdr>
        <w:top w:val="none" w:sz="0" w:space="0" w:color="auto"/>
        <w:left w:val="none" w:sz="0" w:space="0" w:color="auto"/>
        <w:bottom w:val="none" w:sz="0" w:space="0" w:color="auto"/>
        <w:right w:val="none" w:sz="0" w:space="0" w:color="auto"/>
      </w:divBdr>
    </w:div>
    <w:div w:id="837774562">
      <w:bodyDiv w:val="1"/>
      <w:marLeft w:val="0"/>
      <w:marRight w:val="0"/>
      <w:marTop w:val="0"/>
      <w:marBottom w:val="0"/>
      <w:divBdr>
        <w:top w:val="none" w:sz="0" w:space="0" w:color="auto"/>
        <w:left w:val="none" w:sz="0" w:space="0" w:color="auto"/>
        <w:bottom w:val="none" w:sz="0" w:space="0" w:color="auto"/>
        <w:right w:val="none" w:sz="0" w:space="0" w:color="auto"/>
      </w:divBdr>
    </w:div>
    <w:div w:id="18490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EC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DECSION.DOT</Template>
  <TotalTime>213</TotalTime>
  <Pages>3</Pages>
  <Words>829</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STATE OF RHODE ISLAND			ZONING BOARD OF REVIEW</vt:lpstr>
    </vt:vector>
  </TitlesOfParts>
  <Company>City of Newport</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RHODE ISLAND			ZONING BOARD OF REVIEW</dc:title>
  <dc:creator>Guy E. Weston</dc:creator>
  <cp:lastModifiedBy>Johnson, Helen</cp:lastModifiedBy>
  <cp:revision>6</cp:revision>
  <cp:lastPrinted>2020-06-11T14:14:00Z</cp:lastPrinted>
  <dcterms:created xsi:type="dcterms:W3CDTF">2020-10-05T23:37:00Z</dcterms:created>
  <dcterms:modified xsi:type="dcterms:W3CDTF">2020-10-19T00:03:00Z</dcterms:modified>
</cp:coreProperties>
</file>